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A" w:rsidRDefault="00895DEA" w:rsidP="00895DEA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6572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EA" w:rsidRDefault="00895DEA" w:rsidP="00895DEA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895DEA" w:rsidRDefault="00895DEA" w:rsidP="00895DEA">
      <w:pPr>
        <w:pStyle w:val="a3"/>
        <w:rPr>
          <w:szCs w:val="32"/>
        </w:rPr>
      </w:pPr>
      <w:r>
        <w:rPr>
          <w:szCs w:val="32"/>
        </w:rPr>
        <w:t>РОЗПОРЯДЖЕННЯ</w:t>
      </w:r>
    </w:p>
    <w:p w:rsidR="00895DEA" w:rsidRDefault="00895DEA" w:rsidP="00895DEA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895DEA" w:rsidRDefault="00895DEA" w:rsidP="00895DEA">
      <w:pPr>
        <w:rPr>
          <w:b/>
          <w:bCs/>
          <w:sz w:val="28"/>
          <w:szCs w:val="28"/>
          <w:lang w:val="uk-UA"/>
        </w:rPr>
      </w:pPr>
    </w:p>
    <w:p w:rsidR="00895DEA" w:rsidRDefault="00895DEA" w:rsidP="00895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r w:rsidR="005F080B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.03.20</w:t>
      </w:r>
      <w:r w:rsidR="009616BF">
        <w:rPr>
          <w:sz w:val="28"/>
          <w:szCs w:val="28"/>
          <w:lang w:val="uk-UA"/>
        </w:rPr>
        <w:t>2</w:t>
      </w:r>
      <w:r w:rsidR="00F37E0C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№ </w:t>
      </w:r>
      <w:r w:rsidR="005F080B">
        <w:rPr>
          <w:sz w:val="28"/>
          <w:szCs w:val="28"/>
          <w:lang w:val="uk-UA"/>
        </w:rPr>
        <w:t>56</w:t>
      </w:r>
    </w:p>
    <w:p w:rsidR="00895DEA" w:rsidRDefault="00895DEA" w:rsidP="00895DEA">
      <w:pPr>
        <w:pStyle w:val="5"/>
        <w:rPr>
          <w:b/>
          <w:i/>
          <w:szCs w:val="28"/>
        </w:rPr>
      </w:pP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підсумки економічного і соціального </w:t>
      </w: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міста за 20</w:t>
      </w:r>
      <w:r w:rsidR="00F37E0C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 xml:space="preserve"> рік</w:t>
      </w:r>
    </w:p>
    <w:p w:rsidR="00895DEA" w:rsidRDefault="00895DEA" w:rsidP="00895DEA">
      <w:pPr>
        <w:jc w:val="both"/>
        <w:rPr>
          <w:b/>
          <w:i/>
          <w:sz w:val="28"/>
          <w:szCs w:val="28"/>
          <w:lang w:val="uk-UA"/>
        </w:rPr>
      </w:pPr>
    </w:p>
    <w:p w:rsidR="00895DEA" w:rsidRDefault="00895DEA" w:rsidP="00895D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42 Закону України "Про місцеве самоврядування в Україні", на виконання розпорядження голови Закарпатської обласної державної адміністрації від </w:t>
      </w:r>
      <w:r w:rsidR="009616BF">
        <w:rPr>
          <w:sz w:val="28"/>
          <w:szCs w:val="28"/>
          <w:lang w:val="uk-UA"/>
        </w:rPr>
        <w:t>0</w:t>
      </w:r>
      <w:r w:rsidR="00E55C0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9616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</w:t>
      </w:r>
      <w:r w:rsidR="009616BF">
        <w:rPr>
          <w:sz w:val="28"/>
          <w:szCs w:val="28"/>
          <w:lang w:val="uk-UA"/>
        </w:rPr>
        <w:t>2</w:t>
      </w:r>
      <w:r w:rsidR="00E55C0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 № 1</w:t>
      </w:r>
      <w:r w:rsidR="00E55C06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"Про підсумки економічного і соціального розвитку області за 20</w:t>
      </w:r>
      <w:r w:rsidR="00E55C0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рік":</w:t>
      </w:r>
    </w:p>
    <w:p w:rsidR="00895DEA" w:rsidRDefault="00895DEA" w:rsidP="00895DEA">
      <w:pPr>
        <w:jc w:val="both"/>
        <w:rPr>
          <w:sz w:val="14"/>
          <w:szCs w:val="14"/>
          <w:lang w:val="uk-UA"/>
        </w:rPr>
      </w:pPr>
    </w:p>
    <w:p w:rsidR="00895DEA" w:rsidRPr="00A4384B" w:rsidRDefault="00895DEA" w:rsidP="00E55C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55C06">
        <w:rPr>
          <w:sz w:val="28"/>
          <w:szCs w:val="28"/>
          <w:lang w:val="uk-UA"/>
        </w:rPr>
        <w:t>В</w:t>
      </w:r>
      <w:r w:rsidR="00E55C06" w:rsidRPr="004466AE">
        <w:rPr>
          <w:sz w:val="28"/>
          <w:szCs w:val="28"/>
          <w:lang w:val="uk-UA"/>
        </w:rPr>
        <w:t>ідділ</w:t>
      </w:r>
      <w:r w:rsidR="00E55C06">
        <w:rPr>
          <w:sz w:val="28"/>
          <w:szCs w:val="28"/>
          <w:lang w:val="uk-UA"/>
        </w:rPr>
        <w:t>у</w:t>
      </w:r>
      <w:r w:rsidR="00E55C06" w:rsidRPr="004466AE">
        <w:rPr>
          <w:sz w:val="28"/>
          <w:szCs w:val="28"/>
          <w:lang w:val="uk-UA"/>
        </w:rPr>
        <w:t xml:space="preserve"> міського господарства спільно з Відділом економіки та інвестицій</w:t>
      </w:r>
      <w:r w:rsidR="00E55C06">
        <w:rPr>
          <w:sz w:val="28"/>
          <w:szCs w:val="28"/>
          <w:lang w:val="uk-UA"/>
        </w:rPr>
        <w:t xml:space="preserve"> </w:t>
      </w:r>
      <w:r w:rsidR="00E55C06" w:rsidRPr="00E55C06">
        <w:rPr>
          <w:sz w:val="28"/>
          <w:szCs w:val="28"/>
          <w:lang w:val="uk-UA"/>
        </w:rPr>
        <w:t>забезпечити</w:t>
      </w:r>
      <w:r w:rsidR="00E55C06" w:rsidRPr="00D77420">
        <w:rPr>
          <w:sz w:val="28"/>
          <w:szCs w:val="28"/>
          <w:lang w:val="uk-UA"/>
        </w:rPr>
        <w:t xml:space="preserve"> контроль за ефективною реалізацією та використанням коштів </w:t>
      </w:r>
      <w:r w:rsidR="00E55C06">
        <w:rPr>
          <w:sz w:val="28"/>
          <w:szCs w:val="28"/>
          <w:lang w:val="uk-UA"/>
        </w:rPr>
        <w:t xml:space="preserve">у </w:t>
      </w:r>
      <w:r w:rsidR="00E55C06" w:rsidRPr="0058210A">
        <w:rPr>
          <w:sz w:val="28"/>
          <w:szCs w:val="28"/>
          <w:lang w:val="uk-UA"/>
        </w:rPr>
        <w:t>2021</w:t>
      </w:r>
      <w:r w:rsidR="00E55C06" w:rsidRPr="00D77420">
        <w:rPr>
          <w:sz w:val="28"/>
          <w:szCs w:val="28"/>
          <w:lang w:val="uk-UA"/>
        </w:rPr>
        <w:t xml:space="preserve"> році за рахунок усіх джерел фінансування щодо </w:t>
      </w:r>
      <w:proofErr w:type="spellStart"/>
      <w:r w:rsidR="00E55C06" w:rsidRPr="00D77420">
        <w:rPr>
          <w:sz w:val="28"/>
          <w:szCs w:val="28"/>
          <w:lang w:val="uk-UA"/>
        </w:rPr>
        <w:t>про</w:t>
      </w:r>
      <w:r w:rsidR="00272595">
        <w:rPr>
          <w:sz w:val="28"/>
          <w:szCs w:val="28"/>
          <w:lang w:val="uk-UA"/>
        </w:rPr>
        <w:t>є</w:t>
      </w:r>
      <w:r w:rsidR="00E55C06" w:rsidRPr="00D77420">
        <w:rPr>
          <w:sz w:val="28"/>
          <w:szCs w:val="28"/>
          <w:lang w:val="uk-UA"/>
        </w:rPr>
        <w:t>ктів</w:t>
      </w:r>
      <w:proofErr w:type="spellEnd"/>
      <w:r w:rsidR="00E55C06" w:rsidRPr="00D77420">
        <w:rPr>
          <w:sz w:val="28"/>
          <w:szCs w:val="28"/>
          <w:lang w:val="uk-UA"/>
        </w:rPr>
        <w:t xml:space="preserve">, які включені до програми Президента України </w:t>
      </w:r>
      <w:proofErr w:type="spellStart"/>
      <w:r w:rsidR="00E55C06" w:rsidRPr="00D77420">
        <w:rPr>
          <w:sz w:val="28"/>
          <w:szCs w:val="28"/>
          <w:lang w:val="uk-UA"/>
        </w:rPr>
        <w:t>„Велике</w:t>
      </w:r>
      <w:proofErr w:type="spellEnd"/>
      <w:r w:rsidR="00E55C06" w:rsidRPr="00D77420">
        <w:rPr>
          <w:sz w:val="28"/>
          <w:szCs w:val="28"/>
          <w:lang w:val="uk-UA"/>
        </w:rPr>
        <w:t xml:space="preserve"> </w:t>
      </w:r>
      <w:proofErr w:type="spellStart"/>
      <w:r w:rsidR="00E55C06" w:rsidRPr="00D77420">
        <w:rPr>
          <w:sz w:val="28"/>
          <w:szCs w:val="28"/>
          <w:lang w:val="uk-UA"/>
        </w:rPr>
        <w:t>будівництво”</w:t>
      </w:r>
      <w:proofErr w:type="spellEnd"/>
      <w:r w:rsidR="00E55C06">
        <w:rPr>
          <w:sz w:val="28"/>
          <w:szCs w:val="28"/>
          <w:lang w:val="uk-UA"/>
        </w:rPr>
        <w:t>.</w:t>
      </w:r>
    </w:p>
    <w:p w:rsidR="004466AE" w:rsidRDefault="00A02716" w:rsidP="00514F19">
      <w:pPr>
        <w:pStyle w:val="31"/>
        <w:spacing w:after="0"/>
        <w:ind w:firstLine="708"/>
        <w:jc w:val="both"/>
        <w:rPr>
          <w:sz w:val="28"/>
          <w:szCs w:val="28"/>
          <w:lang w:val="uk-UA"/>
        </w:rPr>
      </w:pPr>
      <w:r w:rsidRPr="004466A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55C06" w:rsidRPr="00E55C06"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 забезпечити</w:t>
      </w:r>
      <w:r w:rsidR="00E55C06">
        <w:rPr>
          <w:sz w:val="28"/>
          <w:szCs w:val="28"/>
          <w:lang w:val="uk-UA"/>
        </w:rPr>
        <w:t xml:space="preserve"> </w:t>
      </w:r>
      <w:r w:rsidR="00E55C06" w:rsidRPr="00D77420">
        <w:rPr>
          <w:rFonts w:ascii="Times New Roman" w:hAnsi="Times New Roman" w:cs="Times New Roman"/>
          <w:sz w:val="28"/>
          <w:szCs w:val="28"/>
          <w:lang w:val="uk-UA"/>
        </w:rPr>
        <w:t>контроль за основними показниками роботи, вирішення проблемних питань діяльності промислових підприємств, щомісячну звітність та своєчасне подання інформації департаменту економічного розвитку і торгівлі облдержадміністрації</w:t>
      </w:r>
      <w:r w:rsidR="00E55C06" w:rsidRPr="00A4384B">
        <w:rPr>
          <w:sz w:val="28"/>
          <w:szCs w:val="28"/>
          <w:lang w:val="uk-UA"/>
        </w:rPr>
        <w:t>.</w:t>
      </w:r>
    </w:p>
    <w:p w:rsidR="00E55C06" w:rsidRDefault="00E55C06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</w:t>
      </w:r>
      <w:r w:rsidRPr="00E55C0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E55C06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E55C06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55C0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легалізації виплати заробітної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вжиття додаткових заходів щодо легалізації діяльності підприємств малого та мікробізнесу, а також легалізації сфер діяльності, що працюють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„тіньовому”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секторі економіки.</w:t>
      </w:r>
    </w:p>
    <w:p w:rsidR="00A4384B" w:rsidRDefault="00A4384B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Відділу міського господарства спільно з Відділом економіки та інвестицій забезпечити </w:t>
      </w:r>
      <w:r w:rsidR="00E55C06"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</w:t>
      </w:r>
      <w:proofErr w:type="spellStart"/>
      <w:r w:rsidR="00E55C06" w:rsidRPr="00D7742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55C0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5C06" w:rsidRPr="00D77420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E55C06"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 капітального ремонту, реконструкції та технічного переоснащення об’єктів водопровідно-каналізаційного господарства із залученням коштів державного і місцевого бюджетів та інвестиційних ресурсів</w:t>
      </w:r>
      <w:r w:rsidR="00A602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C06" w:rsidRDefault="00E55C06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«Водоканал Чоп»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додержання суб’єктами господарювання у сфері централізованого водопостачання та централізованого водовідведення, які перебувають у віданні та підпорядкуванні відповідних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органів місцевих рад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громад, вимог ліцензійних умов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провадження відповідного виду господарської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C06" w:rsidRDefault="00E55C06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«Водоканал Чоп»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«Чистий Чоп»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стану розрахунків споживачів за отримані житлово-комунальні послуги та забезпечення стовідсоткової оплати суб’єктами господарювання у сфері 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спожит</w:t>
      </w:r>
      <w:r>
        <w:rPr>
          <w:rFonts w:ascii="Times New Roman" w:hAnsi="Times New Roman" w:cs="Times New Roman"/>
          <w:sz w:val="28"/>
          <w:szCs w:val="28"/>
          <w:lang w:val="uk-UA"/>
        </w:rPr>
        <w:t>і енергоносії</w:t>
      </w:r>
      <w:r w:rsidR="00980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A66BBF">
        <w:rPr>
          <w:rFonts w:ascii="Times New Roman" w:hAnsi="Times New Roman" w:cs="Times New Roman"/>
          <w:sz w:val="28"/>
          <w:szCs w:val="28"/>
          <w:lang w:val="uk-UA"/>
        </w:rPr>
        <w:t>Відділу міського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«Водоканал Чоп» забезпечити: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Порядку формування тарифів, затвердженого постановою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2011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№ 869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єдиного підходу до формування тарифів на комунальні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послуги”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, встановленн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та застосування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тарифів на послуги з централізованого водопостачання та/або централізованого водовідведення, які регулюються на місцевому рівні</w:t>
      </w:r>
      <w:r w:rsidR="00C918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положень Закону України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водовідведенняˮ</w:t>
      </w:r>
      <w:proofErr w:type="spellEnd"/>
      <w:r w:rsidR="00C918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иконання вимог Закону України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комерційний облік теплової енергії та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водопостачання”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через облаштування житлових та нежитлових будівель засобами комерційного обліку холодної води; розроблення та винесення на розгляд відповідних рад місцевих програм оснащення вузлами комерційного обліку житлових будівель, які на день набрання чинності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комерційний облік теплової енергії та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водопостачання”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були приєднані до зовнішніх інженерних мереж та не обладнані такими вузлами, передбачивши відповідне фінансування з місцевих бюджетів на реалізацію таких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66BBF">
        <w:rPr>
          <w:rFonts w:ascii="Times New Roman" w:hAnsi="Times New Roman" w:cs="Times New Roman"/>
          <w:sz w:val="28"/>
          <w:szCs w:val="28"/>
          <w:lang w:val="uk-UA"/>
        </w:rPr>
        <w:t>Відділу міського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«Чистий Чоп» забезпечити: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1222B9">
        <w:rPr>
          <w:rFonts w:ascii="Times New Roman" w:hAnsi="Times New Roman"/>
          <w:sz w:val="28"/>
          <w:szCs w:val="28"/>
          <w:lang w:val="uk-UA"/>
        </w:rPr>
        <w:t>в</w:t>
      </w:r>
      <w:r w:rsidRPr="00D77420">
        <w:rPr>
          <w:rFonts w:ascii="Times New Roman" w:hAnsi="Times New Roman"/>
          <w:sz w:val="28"/>
          <w:szCs w:val="28"/>
          <w:lang w:val="uk-UA"/>
        </w:rPr>
        <w:t xml:space="preserve">иконання положень Закону України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житлово-комунальні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послуги”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стосовно визначення співвласниками багатоквартирних житлових будинків моделі організації договірних відносин з виконавцями комунальних послуг (крім послуг з постачання електричної енергії та природного газу) та укладання договорів про надання відповідних послуг</w:t>
      </w:r>
      <w:r w:rsidR="00C918D3">
        <w:rPr>
          <w:rFonts w:ascii="Times New Roman" w:hAnsi="Times New Roman"/>
          <w:sz w:val="28"/>
          <w:szCs w:val="28"/>
          <w:lang w:val="uk-UA"/>
        </w:rPr>
        <w:t>;</w:t>
      </w:r>
    </w:p>
    <w:p w:rsid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7.2. </w:t>
      </w:r>
      <w:r w:rsidR="001222B9">
        <w:rPr>
          <w:rFonts w:ascii="Times New Roman" w:hAnsi="Times New Roman"/>
          <w:sz w:val="28"/>
          <w:szCs w:val="28"/>
          <w:lang w:val="uk-UA"/>
        </w:rPr>
        <w:t>д</w:t>
      </w:r>
      <w:r w:rsidRPr="00D77420">
        <w:rPr>
          <w:rFonts w:ascii="Times New Roman" w:hAnsi="Times New Roman"/>
          <w:sz w:val="28"/>
          <w:szCs w:val="28"/>
          <w:lang w:val="uk-UA"/>
        </w:rPr>
        <w:t xml:space="preserve">одержання вимог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77420">
        <w:rPr>
          <w:rFonts w:ascii="Times New Roman" w:hAnsi="Times New Roman"/>
          <w:sz w:val="28"/>
          <w:szCs w:val="28"/>
          <w:lang w:val="uk-UA"/>
        </w:rPr>
        <w:t xml:space="preserve">аконів України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особливості здійснення права власності у багатоквартирному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будинку”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житлово-комунальні </w:t>
      </w:r>
      <w:proofErr w:type="spellStart"/>
      <w:r w:rsidRPr="00D77420">
        <w:rPr>
          <w:rFonts w:ascii="Times New Roman" w:hAnsi="Times New Roman"/>
          <w:sz w:val="28"/>
          <w:szCs w:val="28"/>
          <w:lang w:val="uk-UA"/>
        </w:rPr>
        <w:t>послуги”</w:t>
      </w:r>
      <w:proofErr w:type="spellEnd"/>
      <w:r w:rsidRPr="00D77420">
        <w:rPr>
          <w:rFonts w:ascii="Times New Roman" w:hAnsi="Times New Roman"/>
          <w:sz w:val="28"/>
          <w:szCs w:val="28"/>
          <w:lang w:val="uk-UA"/>
        </w:rPr>
        <w:t xml:space="preserve"> щодо призначення управителя багатоквартирним будинком,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/>
          <w:sz w:val="28"/>
          <w:szCs w:val="28"/>
          <w:lang w:val="uk-UA"/>
        </w:rPr>
        <w:t xml:space="preserve"> якому не створено об’єднання співвласників багатоквартирного будинку або співвласники якого не прийняли рішення про форму управління багатоквартирним будинком</w:t>
      </w:r>
      <w:r w:rsidR="00C918D3">
        <w:rPr>
          <w:rFonts w:ascii="Times New Roman" w:hAnsi="Times New Roman"/>
          <w:sz w:val="28"/>
          <w:szCs w:val="28"/>
          <w:lang w:val="uk-UA"/>
        </w:rPr>
        <w:t>;</w:t>
      </w:r>
    </w:p>
    <w:p w:rsidR="00980538" w:rsidRPr="00980538" w:rsidRDefault="00980538" w:rsidP="00514F19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538">
        <w:rPr>
          <w:rFonts w:ascii="Times New Roman" w:hAnsi="Times New Roman" w:cs="Times New Roman"/>
          <w:sz w:val="28"/>
          <w:szCs w:val="28"/>
          <w:lang w:val="uk-UA"/>
        </w:rPr>
        <w:t>8. Відділу міського господарства спільно з Відділом економіки та інвестицій 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залучення бюджетних та кредитних ресурсів для проведення капітальних ремонтів багатоквартирного житлового фонду та впровадження заходів з енергозбереження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538" w:rsidRDefault="00980538" w:rsidP="00980538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A66BBF">
        <w:rPr>
          <w:rFonts w:ascii="Times New Roman" w:hAnsi="Times New Roman" w:cs="Times New Roman"/>
          <w:sz w:val="28"/>
          <w:szCs w:val="28"/>
          <w:lang w:val="uk-UA"/>
        </w:rPr>
        <w:t>Відділу міського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ЧМР «Чистий Чоп» забезпечити:</w:t>
      </w:r>
    </w:p>
    <w:p w:rsidR="00980538" w:rsidRPr="00D77420" w:rsidRDefault="00980538" w:rsidP="00980538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озроблення, погодження та затвердження схеми санітарного очищення населеного пункту відповідно до Порядку розроблення, погодження та затвердження схем санітарного очищення населених пунктів, затвердженого наказом Міністерства регіонального розвитку, будівництва та житлово-комунального господарства України від 23.03.2017 № 57</w:t>
      </w:r>
      <w:r>
        <w:rPr>
          <w:rFonts w:ascii="Times New Roman" w:hAnsi="Times New Roman" w:cs="Times New Roman"/>
          <w:sz w:val="28"/>
          <w:szCs w:val="28"/>
          <w:lang w:val="uk-UA"/>
        </w:rPr>
        <w:t>, зареєстрованого в Міністерстві юстиції України 14 квітня 2017 року за № 505/30373,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ДБН Б.2.2-6:2013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Склад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та зміст схеми санітарного очищення населеного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538" w:rsidRPr="00D77420" w:rsidRDefault="00980538" w:rsidP="00980538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9.2.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онтроль за дотриманням законодавства у сфері благоустрою територій населених пунктів; ліквідацією несанкціонованих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; належною роботою суб’єктів господарювання у сфері збору та вивезення ТПВ і станом місць їх видалення;</w:t>
      </w:r>
    </w:p>
    <w:p w:rsidR="00980538" w:rsidRPr="00D77420" w:rsidRDefault="00980538" w:rsidP="00980538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9.3.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алежне функціонування та прове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дення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завантаженості діючих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тих районах, на території яких знаходиться водний басейн річки Тиса, вжиття необхідних заходів щодо недопущення засмічення водного басейну річки Тиса побутовими відходами;</w:t>
      </w:r>
    </w:p>
    <w:p w:rsidR="00980538" w:rsidRPr="00D77420" w:rsidRDefault="00980538" w:rsidP="00980538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9.4.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озроблення схем санітарного очищення територій населених пунктів області та впровадження роздільного збирання відходів;</w:t>
      </w:r>
    </w:p>
    <w:p w:rsidR="00980538" w:rsidRDefault="00980538" w:rsidP="00980538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9.5. 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роз’яснювальної роботи з населенням щодо необхідності будівництва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сміттєпереробних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сміттєсортувальних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з метою підтримки будівництва таких об’єктів під час проходження громадських слухань</w:t>
      </w:r>
      <w:r w:rsidR="001222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2B9" w:rsidRDefault="001222B9" w:rsidP="00980538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Управлінню праці та соціального захисту населення забезпечити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бюджетах необхідних коштів для виплати компенсації за пільговий проїзд окремих категорій громадян транспортом 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2B9" w:rsidRDefault="001222B9" w:rsidP="00980538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</w:t>
      </w:r>
      <w:r w:rsidRPr="001222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222B9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222B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погашення заборгованості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вжиття заходів щодо своєчасної виплати заробітної плати працівникам підприємств області та запобігання виникненн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із заробітної плати і сплати єдиного соціального внеску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2B9" w:rsidRDefault="001222B9" w:rsidP="00980538">
      <w:pPr>
        <w:pStyle w:val="3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514F19">
        <w:rPr>
          <w:rFonts w:ascii="Times New Roman" w:hAnsi="Times New Roman" w:cs="Times New Roman"/>
          <w:sz w:val="28"/>
          <w:szCs w:val="28"/>
          <w:lang w:val="uk-UA"/>
        </w:rPr>
        <w:t>Управлінню освіти, культури, молоді і спорту 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222B9" w:rsidRPr="00D77420" w:rsidRDefault="001222B9" w:rsidP="001222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12.1. </w:t>
      </w:r>
      <w:r w:rsidRPr="00D77420">
        <w:rPr>
          <w:sz w:val="28"/>
          <w:szCs w:val="28"/>
          <w:lang w:val="uk-UA"/>
        </w:rPr>
        <w:t xml:space="preserve">посилення контролю за створенням належних умов, організацією харчування дітей, учнів, вихованців з додержанням вимог санітарно-гігієнічних правил та норм утримання закладів освіти;  </w:t>
      </w:r>
    </w:p>
    <w:p w:rsidR="001222B9" w:rsidRPr="00D77420" w:rsidRDefault="001222B9" w:rsidP="001222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12.2. введення в дію з </w:t>
      </w:r>
      <w:r w:rsidRPr="00D77420">
        <w:rPr>
          <w:sz w:val="28"/>
          <w:szCs w:val="28"/>
          <w:lang w:val="uk-UA"/>
        </w:rPr>
        <w:t xml:space="preserve">1 січня 2021 року </w:t>
      </w:r>
      <w:hyperlink r:id="rId5">
        <w:r w:rsidRPr="00D77420">
          <w:rPr>
            <w:sz w:val="28"/>
            <w:szCs w:val="28"/>
            <w:lang w:val="uk-UA"/>
          </w:rPr>
          <w:t>Санітарного регламенту для закладів загальної середньої освіти</w:t>
        </w:r>
      </w:hyperlink>
      <w:r w:rsidRPr="00D77420">
        <w:rPr>
          <w:sz w:val="28"/>
          <w:szCs w:val="28"/>
          <w:lang w:val="uk-UA"/>
        </w:rPr>
        <w:t xml:space="preserve">, затвердженого наказом Міністерства охорони здоров’я України від 25.09.2020 № 2205, </w:t>
      </w:r>
      <w:r>
        <w:rPr>
          <w:sz w:val="28"/>
          <w:szCs w:val="28"/>
          <w:lang w:val="uk-UA"/>
        </w:rPr>
        <w:t>зареєстрованого в Міністерстві юстиції України 10 листопада 2020 року за № 1111/35394,</w:t>
      </w:r>
      <w:r w:rsidRPr="00D77420">
        <w:rPr>
          <w:sz w:val="28"/>
          <w:szCs w:val="28"/>
          <w:lang w:val="uk-UA"/>
        </w:rPr>
        <w:t xml:space="preserve"> який визначає методичні вимоги безпеки щодо освітнього середовища в усіх типах шкіл; </w:t>
      </w:r>
    </w:p>
    <w:p w:rsidR="001222B9" w:rsidRPr="00D77420" w:rsidRDefault="001222B9" w:rsidP="001222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12.3. </w:t>
      </w:r>
      <w:r w:rsidRPr="00D77420">
        <w:rPr>
          <w:sz w:val="28"/>
          <w:szCs w:val="28"/>
          <w:lang w:val="uk-UA"/>
        </w:rPr>
        <w:t xml:space="preserve">вжиття заходів </w:t>
      </w:r>
      <w:r>
        <w:rPr>
          <w:sz w:val="28"/>
          <w:szCs w:val="28"/>
          <w:lang w:val="uk-UA"/>
        </w:rPr>
        <w:t>щодо</w:t>
      </w:r>
      <w:r w:rsidRPr="00D77420">
        <w:rPr>
          <w:sz w:val="28"/>
          <w:szCs w:val="28"/>
          <w:lang w:val="uk-UA"/>
        </w:rPr>
        <w:t xml:space="preserve"> охоплення дітей дошкільною освітою шляхом розширення мережі будівництва нових закладів дошкільної освіти, реконструкції діючих, повернення будівель колишніх закладів дошкільної освіти, що використовуються не за призначенням; </w:t>
      </w:r>
    </w:p>
    <w:p w:rsidR="001222B9" w:rsidRDefault="001222B9" w:rsidP="001222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12.4. </w:t>
      </w:r>
      <w:r w:rsidRPr="00D77420">
        <w:rPr>
          <w:sz w:val="28"/>
          <w:szCs w:val="28"/>
          <w:lang w:val="uk-UA"/>
        </w:rPr>
        <w:t>продовження роботи з реформування мережі закладів освіти, зокрема</w:t>
      </w:r>
      <w:r w:rsidRPr="00D77420">
        <w:rPr>
          <w:bCs/>
          <w:sz w:val="28"/>
          <w:szCs w:val="28"/>
          <w:lang w:val="uk-UA"/>
        </w:rPr>
        <w:t xml:space="preserve"> щодо створення опорних закладів освіти та їх філій, сприя</w:t>
      </w:r>
      <w:r>
        <w:rPr>
          <w:bCs/>
          <w:sz w:val="28"/>
          <w:szCs w:val="28"/>
          <w:lang w:val="uk-UA"/>
        </w:rPr>
        <w:t>ння</w:t>
      </w:r>
      <w:r w:rsidRPr="00D77420">
        <w:rPr>
          <w:bCs/>
          <w:sz w:val="28"/>
          <w:szCs w:val="28"/>
          <w:lang w:val="uk-UA"/>
        </w:rPr>
        <w:t xml:space="preserve"> розширенню мережі таких закладів відповідно до вимог законодавства</w:t>
      </w:r>
      <w:r w:rsidRPr="00D77420">
        <w:rPr>
          <w:sz w:val="28"/>
          <w:szCs w:val="28"/>
          <w:lang w:val="uk-UA"/>
        </w:rPr>
        <w:t>.</w:t>
      </w:r>
    </w:p>
    <w:p w:rsidR="000B7B4E" w:rsidRDefault="001222B9" w:rsidP="001222B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B7B4E">
        <w:rPr>
          <w:sz w:val="28"/>
          <w:szCs w:val="28"/>
          <w:lang w:val="uk-UA"/>
        </w:rPr>
        <w:t>. Головним р</w:t>
      </w:r>
      <w:r w:rsidR="000B7B4E" w:rsidRPr="00BD6D91">
        <w:rPr>
          <w:sz w:val="28"/>
          <w:szCs w:val="28"/>
          <w:lang w:val="uk-UA"/>
        </w:rPr>
        <w:t>озпорядникам коштів</w:t>
      </w:r>
      <w:r w:rsidR="00514F19">
        <w:rPr>
          <w:sz w:val="28"/>
          <w:szCs w:val="28"/>
          <w:lang w:val="uk-UA"/>
        </w:rPr>
        <w:t xml:space="preserve"> </w:t>
      </w:r>
      <w:r w:rsidRPr="00D77420">
        <w:rPr>
          <w:sz w:val="28"/>
          <w:szCs w:val="28"/>
          <w:lang w:val="uk-UA"/>
        </w:rPr>
        <w:t>забезпечити здійснення закупівель товарів, робіт і послуг за бюджетні кошти відкрито, прозоро та відповідно до вимог законодавства</w:t>
      </w:r>
      <w:r w:rsidR="00514F19">
        <w:rPr>
          <w:sz w:val="28"/>
          <w:szCs w:val="28"/>
          <w:lang w:val="uk-UA"/>
        </w:rPr>
        <w:t>.</w:t>
      </w:r>
    </w:p>
    <w:p w:rsidR="001222B9" w:rsidRDefault="001222B9" w:rsidP="001222B9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2B9"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 xml:space="preserve"> </w:t>
      </w:r>
      <w:r w:rsidRPr="001222B9">
        <w:rPr>
          <w:rFonts w:ascii="Times New Roman" w:hAnsi="Times New Roman" w:cs="Times New Roman"/>
          <w:sz w:val="28"/>
          <w:szCs w:val="28"/>
          <w:lang w:val="uk-UA"/>
        </w:rPr>
        <w:t>Управлінню Центр надання адміністративних послуг</w:t>
      </w:r>
      <w:r>
        <w:rPr>
          <w:sz w:val="28"/>
          <w:szCs w:val="28"/>
          <w:lang w:val="uk-UA"/>
        </w:rPr>
        <w:t xml:space="preserve">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вжити заходів щодо виконання вимог Закону України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формі”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. Прийняті рішення щодо шляхів забезпечення надання адміністративних послуг населенню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дати департаменту економічного розвитку і торгівлі облдержадміністрації до 31 березня 2021 року.</w:t>
      </w:r>
    </w:p>
    <w:p w:rsidR="001222B9" w:rsidRDefault="001222F4" w:rsidP="001222B9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Управлінню праці та соціального захисту населення спільно з Відділом централізованого бухгалтерського обліку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підключення до програмного комплексу  „ІІС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громада”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посадових осіб (покрокова інструкція з безоплатного приєднання до ПК „ІІС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громада”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за посиланням </w:t>
      </w:r>
      <w:hyperlink r:id="rId6" w:history="1">
        <w:r w:rsidRPr="00D77420">
          <w:rPr>
            <w:rFonts w:ascii="Times New Roman" w:hAnsi="Times New Roman" w:cs="Times New Roman"/>
            <w:sz w:val="28"/>
            <w:szCs w:val="28"/>
            <w:lang w:val="uk-UA"/>
          </w:rPr>
          <w:t>https://socgromada.ioc.gov.ua/</w:t>
        </w:r>
      </w:hyperlink>
      <w:r w:rsidRPr="00D77420">
        <w:rPr>
          <w:rFonts w:ascii="Times New Roman" w:hAnsi="Times New Roman" w:cs="Times New Roman"/>
          <w:sz w:val="28"/>
          <w:szCs w:val="28"/>
          <w:lang w:val="uk-UA"/>
        </w:rPr>
        <w:t>) до 1 березня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595" w:rsidRDefault="001222F4" w:rsidP="00272595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Управлінню праці та соціального захисту населення</w:t>
      </w:r>
      <w:r w:rsidR="0027259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72595"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протягом року роботу </w:t>
      </w:r>
      <w:r w:rsidR="00272595">
        <w:rPr>
          <w:rFonts w:ascii="Times New Roman" w:hAnsi="Times New Roman" w:cs="Times New Roman"/>
          <w:sz w:val="28"/>
          <w:szCs w:val="28"/>
          <w:lang w:val="uk-UA"/>
        </w:rPr>
        <w:t>щодо:</w:t>
      </w:r>
    </w:p>
    <w:p w:rsidR="00272595" w:rsidRPr="00D77420" w:rsidRDefault="00272595" w:rsidP="00272595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16.1.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прийому заяв і документів для призначення усіх видів соціальної підтримки,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із застосуванням електронних сервісів (програмний комплекс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„Інтегрована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інформаційна система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громада”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), безпосередньо за місцем проживання громадян;</w:t>
      </w:r>
    </w:p>
    <w:p w:rsidR="00272595" w:rsidRPr="00D77420" w:rsidRDefault="00272595" w:rsidP="00272595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16.2.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цільового та повного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поточному році коштів субвенцій з державного бюджету місцевим бюджетам на виплату грошових компенсацій за належні для отримання жилі приміщення для пільгових категорій громадян, передбачених постановами Кабінету Міністрів України від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2016 року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№ 719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„Питання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деяких категорій осіб, які захищали незалежність, суверенітет та територіальну цілісність України, а також членів їх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сімей”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, від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2018 року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№ 214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„Питання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деяких категорій осіб, які брали участь у бойових діях на території інших держав, а також членів їх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сімей”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>, від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№ 280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„Питання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внутрішньо переміщених осіб, які захищали незалежність, суверенітет та територіальну цілісність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України”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595" w:rsidRDefault="00272595" w:rsidP="00272595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16.3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>. Забезпечувати протягом року надання базових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оціальних послуг відповідно до </w:t>
      </w:r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</w:t>
      </w:r>
      <w:proofErr w:type="spellStart"/>
      <w:r w:rsidRPr="00D77420">
        <w:rPr>
          <w:rFonts w:ascii="Times New Roman" w:hAnsi="Times New Roman" w:cs="Times New Roman"/>
          <w:sz w:val="28"/>
          <w:szCs w:val="28"/>
          <w:lang w:val="uk-UA"/>
        </w:rPr>
        <w:t>послуги”</w:t>
      </w:r>
      <w:proofErr w:type="spellEnd"/>
      <w:r w:rsidRPr="00D77420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подолання або мінімізації негативних наслідків для осіб і сімей, які перебувають у складних життєвих обставинах. </w:t>
      </w:r>
    </w:p>
    <w:p w:rsidR="0027771B" w:rsidRPr="00272595" w:rsidRDefault="0027771B" w:rsidP="00272595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5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F19" w:rsidRPr="002725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2595">
        <w:rPr>
          <w:rFonts w:ascii="Times New Roman" w:hAnsi="Times New Roman" w:cs="Times New Roman"/>
          <w:sz w:val="28"/>
          <w:szCs w:val="28"/>
          <w:lang w:val="uk-UA"/>
        </w:rPr>
        <w:t xml:space="preserve">. Відділу економіки та інвестицій про проведену роботу проінформувати департамент економічного розвитку і торгівлі Закарпатської обласної державної адміністрації до </w:t>
      </w:r>
      <w:r w:rsidR="00272595">
        <w:rPr>
          <w:rFonts w:ascii="Times New Roman" w:hAnsi="Times New Roman" w:cs="Times New Roman"/>
          <w:sz w:val="28"/>
          <w:szCs w:val="28"/>
          <w:lang w:val="uk-UA"/>
        </w:rPr>
        <w:t>10 березня</w:t>
      </w:r>
      <w:r w:rsidRPr="0027259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14F19" w:rsidRPr="002725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259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F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Контроль за виконанням даного розпорядження покласти на заступника міського голови</w:t>
      </w:r>
      <w:r w:rsidR="00272595">
        <w:rPr>
          <w:sz w:val="28"/>
          <w:szCs w:val="28"/>
          <w:lang w:val="uk-UA"/>
        </w:rPr>
        <w:t xml:space="preserve"> </w:t>
      </w:r>
      <w:proofErr w:type="spellStart"/>
      <w:r w:rsidR="00272595">
        <w:rPr>
          <w:sz w:val="28"/>
          <w:szCs w:val="28"/>
          <w:lang w:val="uk-UA"/>
        </w:rPr>
        <w:t>Гіжана</w:t>
      </w:r>
      <w:proofErr w:type="spellEnd"/>
      <w:r w:rsidR="00272595">
        <w:rPr>
          <w:sz w:val="28"/>
          <w:szCs w:val="28"/>
          <w:lang w:val="uk-UA"/>
        </w:rPr>
        <w:t xml:space="preserve"> І.С.</w:t>
      </w:r>
    </w:p>
    <w:p w:rsidR="0027771B" w:rsidRDefault="0027771B" w:rsidP="00514F19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0B7B4E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0B7B4E">
      <w:pPr>
        <w:ind w:firstLine="708"/>
        <w:jc w:val="both"/>
        <w:rPr>
          <w:sz w:val="28"/>
          <w:szCs w:val="28"/>
          <w:lang w:val="uk-UA"/>
        </w:rPr>
      </w:pPr>
    </w:p>
    <w:p w:rsidR="001D3BED" w:rsidRDefault="001D3BED" w:rsidP="001D3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</w:t>
      </w:r>
      <w:r w:rsidR="00272595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В</w:t>
      </w:r>
      <w:r w:rsidR="00272595">
        <w:rPr>
          <w:sz w:val="28"/>
          <w:szCs w:val="28"/>
          <w:lang w:val="uk-UA"/>
        </w:rPr>
        <w:t>алерій</w:t>
      </w:r>
      <w:r>
        <w:rPr>
          <w:sz w:val="28"/>
          <w:szCs w:val="28"/>
          <w:lang w:val="uk-UA"/>
        </w:rPr>
        <w:t xml:space="preserve"> С</w:t>
      </w:r>
      <w:r w:rsidR="00272595">
        <w:rPr>
          <w:sz w:val="28"/>
          <w:szCs w:val="28"/>
          <w:lang w:val="uk-UA"/>
        </w:rPr>
        <w:t>АМАРДАК</w:t>
      </w:r>
    </w:p>
    <w:p w:rsidR="000B7B4E" w:rsidRPr="00EC36F7" w:rsidRDefault="000B7B4E" w:rsidP="00545D35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D35" w:rsidRPr="00EC36F7" w:rsidRDefault="00545D35" w:rsidP="00290D81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D81" w:rsidRDefault="00290D81" w:rsidP="00D25740">
      <w:pPr>
        <w:ind w:firstLine="708"/>
        <w:jc w:val="both"/>
        <w:rPr>
          <w:sz w:val="28"/>
          <w:szCs w:val="28"/>
          <w:lang w:val="uk-UA"/>
        </w:rPr>
      </w:pPr>
    </w:p>
    <w:p w:rsidR="00D25740" w:rsidRDefault="00D25740" w:rsidP="00737A56">
      <w:pPr>
        <w:ind w:firstLine="708"/>
        <w:jc w:val="both"/>
        <w:rPr>
          <w:sz w:val="28"/>
          <w:szCs w:val="28"/>
          <w:lang w:val="uk-UA"/>
        </w:rPr>
      </w:pPr>
    </w:p>
    <w:p w:rsidR="002E090B" w:rsidRDefault="002E090B" w:rsidP="00635B5F">
      <w:pPr>
        <w:ind w:firstLine="708"/>
        <w:jc w:val="both"/>
        <w:rPr>
          <w:sz w:val="28"/>
          <w:szCs w:val="28"/>
          <w:lang w:val="uk-UA"/>
        </w:rPr>
      </w:pPr>
    </w:p>
    <w:p w:rsidR="00635B5F" w:rsidRDefault="00635B5F" w:rsidP="00B432F4">
      <w:pPr>
        <w:ind w:firstLine="708"/>
        <w:jc w:val="both"/>
        <w:rPr>
          <w:sz w:val="28"/>
          <w:szCs w:val="28"/>
          <w:lang w:val="uk-UA"/>
        </w:rPr>
      </w:pPr>
    </w:p>
    <w:p w:rsidR="00B432F4" w:rsidRDefault="00B432F4" w:rsidP="00895DEA">
      <w:pPr>
        <w:jc w:val="both"/>
        <w:rPr>
          <w:sz w:val="28"/>
          <w:szCs w:val="28"/>
          <w:lang w:val="uk-UA"/>
        </w:rPr>
      </w:pPr>
    </w:p>
    <w:p w:rsidR="00895DEA" w:rsidRDefault="00895DEA" w:rsidP="00895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41389" w:rsidRPr="00895DEA" w:rsidRDefault="00B41389">
      <w:pPr>
        <w:rPr>
          <w:lang w:val="uk-UA"/>
        </w:rPr>
      </w:pPr>
    </w:p>
    <w:sectPr w:rsidR="00B41389" w:rsidRPr="00895DEA" w:rsidSect="00F119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75C0"/>
    <w:rsid w:val="000B7B4E"/>
    <w:rsid w:val="001222B9"/>
    <w:rsid w:val="001222F4"/>
    <w:rsid w:val="001D3BED"/>
    <w:rsid w:val="00272595"/>
    <w:rsid w:val="0027771B"/>
    <w:rsid w:val="00290D81"/>
    <w:rsid w:val="002B75C0"/>
    <w:rsid w:val="002E090B"/>
    <w:rsid w:val="00324A67"/>
    <w:rsid w:val="003E4138"/>
    <w:rsid w:val="004466AE"/>
    <w:rsid w:val="00460565"/>
    <w:rsid w:val="004F2F1F"/>
    <w:rsid w:val="00514F19"/>
    <w:rsid w:val="00545D35"/>
    <w:rsid w:val="005F080B"/>
    <w:rsid w:val="00635B5F"/>
    <w:rsid w:val="006E0CD7"/>
    <w:rsid w:val="00737A56"/>
    <w:rsid w:val="007A31CC"/>
    <w:rsid w:val="00895DEA"/>
    <w:rsid w:val="00916C9F"/>
    <w:rsid w:val="009616BF"/>
    <w:rsid w:val="00980538"/>
    <w:rsid w:val="009F3246"/>
    <w:rsid w:val="00A02716"/>
    <w:rsid w:val="00A0650F"/>
    <w:rsid w:val="00A4384B"/>
    <w:rsid w:val="00A60222"/>
    <w:rsid w:val="00A66BBF"/>
    <w:rsid w:val="00B41389"/>
    <w:rsid w:val="00B432F4"/>
    <w:rsid w:val="00B95064"/>
    <w:rsid w:val="00C918D3"/>
    <w:rsid w:val="00CC3F38"/>
    <w:rsid w:val="00D25740"/>
    <w:rsid w:val="00D451EF"/>
    <w:rsid w:val="00D97A47"/>
    <w:rsid w:val="00E55C06"/>
    <w:rsid w:val="00E72FC9"/>
    <w:rsid w:val="00F11916"/>
    <w:rsid w:val="00F229F8"/>
    <w:rsid w:val="00F37E0C"/>
    <w:rsid w:val="00F5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5DEA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5D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D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E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90D81"/>
    <w:pPr>
      <w:widowControl w:val="0"/>
      <w:autoSpaceDE w:val="0"/>
      <w:autoSpaceDN w:val="0"/>
      <w:adjustRightInd w:val="0"/>
      <w:spacing w:after="120"/>
    </w:pPr>
    <w:rPr>
      <w:rFonts w:ascii="Arial CYR" w:hAnsi="Arial CYR" w:cs="Arial CYR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0D81"/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466AE"/>
    <w:pPr>
      <w:widowControl w:val="0"/>
      <w:suppressAutoHyphens/>
      <w:autoSpaceDE w:val="0"/>
      <w:spacing w:after="120"/>
    </w:pPr>
    <w:rPr>
      <w:rFonts w:ascii="Arial CYR" w:hAnsi="Arial CYR" w:cs="Arial CYR"/>
      <w:sz w:val="16"/>
      <w:szCs w:val="16"/>
      <w:lang w:eastAsia="zh-CN"/>
    </w:rPr>
  </w:style>
  <w:style w:type="paragraph" w:styleId="a9">
    <w:name w:val="Body Text Indent"/>
    <w:basedOn w:val="a"/>
    <w:link w:val="aa"/>
    <w:rsid w:val="00980538"/>
    <w:pPr>
      <w:widowControl w:val="0"/>
      <w:autoSpaceDE w:val="0"/>
      <w:autoSpaceDN w:val="0"/>
      <w:adjustRightInd w:val="0"/>
      <w:spacing w:after="120"/>
      <w:ind w:left="283"/>
    </w:pPr>
    <w:rPr>
      <w:rFonts w:ascii="Arial CYR" w:hAnsi="Arial CYR"/>
    </w:rPr>
  </w:style>
  <w:style w:type="character" w:customStyle="1" w:styleId="aa">
    <w:name w:val="Основной текст с отступом Знак"/>
    <w:basedOn w:val="a0"/>
    <w:link w:val="a9"/>
    <w:rsid w:val="00980538"/>
    <w:rPr>
      <w:rFonts w:ascii="Arial CYR" w:eastAsia="Times New Roman" w:hAnsi="Arial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5DEA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5DE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895DEA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895DE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D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E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90D81"/>
    <w:pPr>
      <w:widowControl w:val="0"/>
      <w:autoSpaceDE w:val="0"/>
      <w:autoSpaceDN w:val="0"/>
      <w:adjustRightInd w:val="0"/>
      <w:spacing w:after="120"/>
    </w:pPr>
    <w:rPr>
      <w:rFonts w:ascii="Arial CYR" w:hAnsi="Arial CYR" w:cs="Arial CYR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0D81"/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466AE"/>
    <w:pPr>
      <w:widowControl w:val="0"/>
      <w:suppressAutoHyphens/>
      <w:autoSpaceDE w:val="0"/>
      <w:spacing w:after="120"/>
    </w:pPr>
    <w:rPr>
      <w:rFonts w:ascii="Arial CYR" w:hAnsi="Arial CYR" w:cs="Arial CYR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gromada.ioc.gov.ua/" TargetMode="External"/><Relationship Id="rId5" Type="http://schemas.openxmlformats.org/officeDocument/2006/relationships/hyperlink" Target="https://pedpresa.com.ua/205301-nakaz-moz-2205-vid-25-09-2020.htm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Zhurnalist</cp:lastModifiedBy>
  <cp:revision>4</cp:revision>
  <cp:lastPrinted>2020-03-19T08:36:00Z</cp:lastPrinted>
  <dcterms:created xsi:type="dcterms:W3CDTF">2021-03-09T07:27:00Z</dcterms:created>
  <dcterms:modified xsi:type="dcterms:W3CDTF">2021-03-10T13:04:00Z</dcterms:modified>
</cp:coreProperties>
</file>