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F3" w:rsidRPr="006C760F" w:rsidRDefault="00D5120C" w:rsidP="008B71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b/>
          <w:sz w:val="24"/>
          <w:szCs w:val="24"/>
          <w:lang w:val="uk-UA"/>
        </w:rPr>
        <w:t>Інформація начальника</w:t>
      </w:r>
      <w:r w:rsidR="00933F5F" w:rsidRPr="006C76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відділу економіки та інвестицій </w:t>
      </w:r>
      <w:r w:rsidR="006C760F">
        <w:rPr>
          <w:rFonts w:ascii="Times New Roman" w:hAnsi="Times New Roman" w:cs="Times New Roman"/>
          <w:b/>
          <w:sz w:val="24"/>
          <w:szCs w:val="24"/>
          <w:lang w:val="uk-UA"/>
        </w:rPr>
        <w:t>Тетяни Чебан</w:t>
      </w:r>
      <w:r w:rsidRPr="006C76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роботу відділу екон</w:t>
      </w:r>
      <w:r w:rsidR="00933F5F" w:rsidRPr="006C76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оміки </w:t>
      </w:r>
      <w:r w:rsidR="00F96135" w:rsidRPr="006C760F">
        <w:rPr>
          <w:rFonts w:ascii="Times New Roman" w:hAnsi="Times New Roman" w:cs="Times New Roman"/>
          <w:b/>
          <w:sz w:val="24"/>
          <w:szCs w:val="24"/>
          <w:lang w:val="uk-UA"/>
        </w:rPr>
        <w:t>та інвестицій протягом 2019 року</w:t>
      </w:r>
    </w:p>
    <w:p w:rsidR="00D5120C" w:rsidRPr="006C760F" w:rsidRDefault="00D5120C" w:rsidP="00245193">
      <w:pPr>
        <w:pStyle w:val="a3"/>
        <w:jc w:val="left"/>
        <w:rPr>
          <w:rFonts w:ascii="Times New Roman" w:hAnsi="Times New Roman" w:cs="Times New Roman"/>
          <w:bCs w:val="0"/>
          <w:i/>
          <w:sz w:val="24"/>
          <w:szCs w:val="24"/>
          <w:u w:val="single"/>
        </w:rPr>
      </w:pPr>
    </w:p>
    <w:p w:rsidR="00D5120C" w:rsidRPr="006C760F" w:rsidRDefault="00D60B00" w:rsidP="006C760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Пріоритетним напрямком роботи Відділу економіки та інвестицій Чопської міської ради були розробка та здійснення заходів, затверджених Програмою соціально-економічного розвитку м. Чоп, якою передбачено розвиток економіки та соціальної сфери з елементами стратегії для прийняття конкретних рішень щодо регулювання соціально-економічних процесів, ефективності розв'язання проблем економічного і соціального розвитку міста, досягнення стабільності та зростання, з огляду на очікувані зміни в економіці, на ринку праці, в соціальній та гуманітарній сферах. </w:t>
      </w:r>
    </w:p>
    <w:p w:rsidR="00D5120C" w:rsidRPr="006C760F" w:rsidRDefault="009D3E1D" w:rsidP="006C760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З цією метою в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ідділ приймав участь у проведенні як програмних, так і прогнозних робіт, пов'язаних з перспективою гармонійного розвитку суб'єктів господарювання всіх форм власності, заходів щодо реалізації в місті завдань, пов'язаних з вирішенням питань, розв'язання яких </w:t>
      </w:r>
      <w:r w:rsidR="0052250D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потребує особливої уваги влади.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З метою підтримки та розвитку підпри</w:t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>ємництва в місті Чоп розроблена «Програма розвитку малого і середнього підприємництва на 2019 - 2020 рр. по м. Чоп» була затверджена  рішенням  тридцять п’ятої сесії сьомого скликання Чопської міської ради Закарпатської області від 19.12.2018 р. № 17.</w:t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  <w:t>Програма є складовою частиною Програми соціально - економічного розвитку м. Чоп на 2019 - 2020 роки та логічним продовженням Програми підтримки та розвитку малого підприємництва попереднього періоду з урахуванням аналізу результатів її виконання.</w:t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Програмою розвитку міста затверджений ряд заходів, які спрямовані на розвиток таких сфер, як житлово-комунальне господарство, капітальне будівництво, освіта, культура, інвестиційна та інноваційна </w:t>
      </w:r>
      <w:r w:rsidR="00B3053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політика, охорона навколишнього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природного середовища та ін., пос</w:t>
      </w:r>
      <w:r w:rsidR="0052250D" w:rsidRPr="006C760F">
        <w:rPr>
          <w:rFonts w:ascii="Times New Roman" w:hAnsi="Times New Roman" w:cs="Times New Roman"/>
          <w:sz w:val="24"/>
          <w:szCs w:val="24"/>
          <w:lang w:val="uk-UA"/>
        </w:rPr>
        <w:t>тійний моніторинг яких виконує в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ідділ</w:t>
      </w:r>
      <w:r w:rsidR="00266503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Відділом відстежується демографічна ситуація міста. Чисельніс</w:t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>ть наявног</w:t>
      </w:r>
      <w:r w:rsidR="00003C8E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о населення на 1 жовтня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року становить</w:t>
      </w:r>
      <w:r w:rsidR="0001375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8 851</w:t>
      </w:r>
      <w:r w:rsidR="00003C8E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особа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, кількість народжених с</w:t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>тановила</w:t>
      </w:r>
      <w:r w:rsidR="00003C8E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   - 48 осіб, кількість померлих - </w:t>
      </w:r>
      <w:r w:rsidR="00013751" w:rsidRPr="006C760F">
        <w:rPr>
          <w:rFonts w:ascii="Times New Roman" w:hAnsi="Times New Roman" w:cs="Times New Roman"/>
          <w:sz w:val="24"/>
          <w:szCs w:val="24"/>
          <w:lang w:val="uk-UA"/>
        </w:rPr>
        <w:t>73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>оби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, природне скорочення становить -</w:t>
      </w:r>
      <w:r w:rsidR="0001375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25</w:t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осіб, кількість померлих дітей у віці до 1 року – 2 дитини.</w:t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56DC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13751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Зареєстровано </w:t>
      </w:r>
      <w:r w:rsidR="00013751" w:rsidRPr="006C760F">
        <w:rPr>
          <w:rFonts w:ascii="Times New Roman" w:hAnsi="Times New Roman" w:cs="Times New Roman"/>
          <w:sz w:val="24"/>
          <w:szCs w:val="24"/>
          <w:lang w:val="uk-UA"/>
        </w:rPr>
        <w:t>шлюбів - 49</w:t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>, розлучень - 3, кількі</w:t>
      </w:r>
      <w:r w:rsidR="00013751" w:rsidRPr="006C760F">
        <w:rPr>
          <w:rFonts w:ascii="Times New Roman" w:hAnsi="Times New Roman" w:cs="Times New Roman"/>
          <w:sz w:val="24"/>
          <w:szCs w:val="24"/>
          <w:lang w:val="uk-UA"/>
        </w:rPr>
        <w:t>сть прибулих - 87, вибулих – 108</w:t>
      </w:r>
      <w:r w:rsidR="00003C8E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="00673E6A" w:rsidRPr="006C760F">
        <w:rPr>
          <w:rFonts w:ascii="Times New Roman" w:hAnsi="Times New Roman" w:cs="Times New Roman"/>
          <w:sz w:val="24"/>
          <w:szCs w:val="24"/>
          <w:lang w:val="uk-UA"/>
        </w:rPr>
        <w:t>, міграційний приріст, скорочення –</w:t>
      </w:r>
      <w:r w:rsidR="004D1D2D" w:rsidRPr="006C760F">
        <w:rPr>
          <w:rFonts w:ascii="Times New Roman" w:hAnsi="Times New Roman" w:cs="Times New Roman"/>
          <w:sz w:val="24"/>
          <w:szCs w:val="24"/>
          <w:lang w:val="uk-UA"/>
        </w:rPr>
        <w:t>– 21 особа</w:t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>, з</w:t>
      </w:r>
      <w:r w:rsidR="00013751" w:rsidRPr="006C760F">
        <w:rPr>
          <w:rFonts w:ascii="Times New Roman" w:hAnsi="Times New Roman" w:cs="Times New Roman"/>
          <w:sz w:val="24"/>
          <w:szCs w:val="24"/>
          <w:lang w:val="uk-UA"/>
        </w:rPr>
        <w:t>агальний приріст, скорочення – 46</w:t>
      </w:r>
      <w:r w:rsidR="004D1D2D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="00B85C8F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C760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5120C" w:rsidRPr="006C760F">
        <w:rPr>
          <w:rFonts w:ascii="Times New Roman" w:hAnsi="Times New Roman" w:cs="Times New Roman"/>
          <w:b/>
          <w:sz w:val="24"/>
          <w:szCs w:val="24"/>
          <w:lang w:val="uk-UA"/>
        </w:rPr>
        <w:t>Населенн</w:t>
      </w:r>
      <w:r w:rsidR="00673E6A" w:rsidRPr="006C760F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6D2283" w:rsidRPr="006C760F">
        <w:rPr>
          <w:rFonts w:ascii="Times New Roman" w:hAnsi="Times New Roman" w:cs="Times New Roman"/>
          <w:b/>
          <w:i/>
          <w:color w:val="000000"/>
          <w:sz w:val="24"/>
          <w:szCs w:val="24"/>
          <w:lang w:val="uk-UA"/>
        </w:rPr>
        <w:object w:dxaOrig="8740" w:dyaOrig="50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7pt;height:250.45pt" o:ole="">
            <v:imagedata r:id="rId7" o:title=""/>
          </v:shape>
          <o:OLEObject Type="Embed" ProgID="MSGraph.Chart.8" ShapeID="_x0000_i1025" DrawAspect="Content" ObjectID="_1642573008" r:id="rId8">
            <o:FieldCodes>\s</o:FieldCodes>
          </o:OLEObject>
        </w:object>
      </w:r>
    </w:p>
    <w:p w:rsidR="00D5120C" w:rsidRPr="006C760F" w:rsidRDefault="000A7172" w:rsidP="0024519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Відділом економіки та інвестицій Чопської міської ради щомісячно проводиться контроль та моніторинг основних показників роботи промислових підприємств міста, відповідна інформація щомісячно подається департаменту економічного розвитку і торгівлі Закарпатської обласної державної адміністрації.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 підприємствах промислового виробництва спостерігається збільшення виробленої та реалізованої продукції. </w:t>
      </w:r>
      <w:r w:rsidR="00D46C56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Так, за січень – </w:t>
      </w:r>
      <w:r w:rsidR="004615FE" w:rsidRPr="006C760F">
        <w:rPr>
          <w:rFonts w:ascii="Times New Roman" w:hAnsi="Times New Roman" w:cs="Times New Roman"/>
          <w:sz w:val="24"/>
          <w:szCs w:val="24"/>
          <w:lang w:val="uk-UA"/>
        </w:rPr>
        <w:t>жовтень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D46C56" w:rsidRPr="006C760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року обсяги </w:t>
      </w:r>
      <w:r w:rsidR="0061036F" w:rsidRPr="006C760F">
        <w:rPr>
          <w:rFonts w:ascii="Times New Roman" w:hAnsi="Times New Roman" w:cs="Times New Roman"/>
          <w:sz w:val="24"/>
          <w:szCs w:val="24"/>
          <w:lang w:val="uk-UA"/>
        </w:rPr>
        <w:t>реалізованої продукції</w:t>
      </w:r>
      <w:r w:rsidR="000B0AB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у нашому місті склали </w:t>
      </w:r>
      <w:r w:rsidR="00B7024E">
        <w:rPr>
          <w:rFonts w:ascii="Times New Roman" w:hAnsi="Times New Roman" w:cs="Times New Roman"/>
          <w:sz w:val="24"/>
          <w:szCs w:val="24"/>
          <w:lang w:val="uk-UA"/>
        </w:rPr>
        <w:t xml:space="preserve">110 </w:t>
      </w:r>
      <w:r w:rsidR="005B0EA4" w:rsidRPr="006C760F">
        <w:rPr>
          <w:rFonts w:ascii="Times New Roman" w:hAnsi="Times New Roman" w:cs="Times New Roman"/>
          <w:sz w:val="24"/>
          <w:szCs w:val="24"/>
          <w:lang w:val="uk-UA"/>
        </w:rPr>
        <w:t>755,4</w:t>
      </w:r>
      <w:r w:rsidR="00464D5B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тис. грн.,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 w:rsidR="00397C70" w:rsidRPr="006C760F">
        <w:rPr>
          <w:rFonts w:ascii="Times New Roman" w:hAnsi="Times New Roman" w:cs="Times New Roman"/>
          <w:sz w:val="24"/>
          <w:szCs w:val="24"/>
          <w:lang w:val="uk-UA"/>
        </w:rPr>
        <w:t>становить 0,6</w:t>
      </w:r>
      <w:r w:rsidR="00464D5B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% до</w:t>
      </w:r>
      <w:r w:rsidR="00397C7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всієї реалізованої продукції.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Середня заробітна плата на підприємств</w:t>
      </w:r>
      <w:r w:rsidR="00CA2EF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і промислової продукції складає </w:t>
      </w:r>
      <w:r w:rsidR="00557E3A" w:rsidRPr="006C760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702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1633" w:rsidRPr="006C760F">
        <w:rPr>
          <w:rFonts w:ascii="Times New Roman" w:hAnsi="Times New Roman" w:cs="Times New Roman"/>
          <w:sz w:val="24"/>
          <w:szCs w:val="24"/>
          <w:lang w:val="uk-UA"/>
        </w:rPr>
        <w:t>119,255 тис. грн</w:t>
      </w:r>
      <w:r w:rsidR="00CA2EF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кількість</w:t>
      </w:r>
      <w:r w:rsidR="00CA2EF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штатних </w:t>
      </w:r>
      <w:r w:rsidR="004615FE" w:rsidRPr="006C760F">
        <w:rPr>
          <w:rFonts w:ascii="Times New Roman" w:hAnsi="Times New Roman" w:cs="Times New Roman"/>
          <w:sz w:val="24"/>
          <w:szCs w:val="24"/>
          <w:lang w:val="uk-UA"/>
        </w:rPr>
        <w:t>працівників на 01.11</w:t>
      </w:r>
      <w:r w:rsidR="00CA2EF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.2019 року </w:t>
      </w:r>
      <w:r w:rsidR="001A65C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становить </w:t>
      </w:r>
      <w:r w:rsidR="009D3E1D" w:rsidRPr="006C760F">
        <w:rPr>
          <w:rFonts w:ascii="Times New Roman" w:hAnsi="Times New Roman" w:cs="Times New Roman"/>
          <w:sz w:val="24"/>
          <w:szCs w:val="24"/>
          <w:lang w:val="uk-UA"/>
        </w:rPr>
        <w:t>286</w:t>
      </w:r>
      <w:r w:rsidR="004615FE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="003F6127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34F0" w:rsidRPr="006C760F" w:rsidRDefault="006334F0" w:rsidP="00245193">
      <w:pPr>
        <w:tabs>
          <w:tab w:val="left" w:pos="10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120C" w:rsidRPr="006C760F" w:rsidRDefault="00D5120C" w:rsidP="0024519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color w:val="333300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b/>
          <w:i/>
          <w:sz w:val="24"/>
          <w:szCs w:val="24"/>
          <w:lang w:val="uk-UA"/>
        </w:rPr>
        <w:t>Динаміка середньомісячної заробітної плати найманих пра</w:t>
      </w:r>
      <w:r w:rsidR="00EA6D0A" w:rsidRPr="006C760F">
        <w:rPr>
          <w:rFonts w:ascii="Times New Roman" w:hAnsi="Times New Roman" w:cs="Times New Roman"/>
          <w:b/>
          <w:i/>
          <w:sz w:val="24"/>
          <w:szCs w:val="24"/>
          <w:lang w:val="uk-UA"/>
        </w:rPr>
        <w:t>цівників за період з 2015</w:t>
      </w:r>
      <w:r w:rsidR="005E119A" w:rsidRPr="006C760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по 2019</w:t>
      </w:r>
      <w:r w:rsidRPr="006C760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роки</w:t>
      </w:r>
    </w:p>
    <w:p w:rsidR="00D5120C" w:rsidRPr="006C760F" w:rsidRDefault="0070546F" w:rsidP="00245193">
      <w:pPr>
        <w:tabs>
          <w:tab w:val="left" w:pos="10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b/>
          <w:sz w:val="24"/>
          <w:szCs w:val="24"/>
          <w:lang w:val="uk-UA"/>
        </w:rPr>
        <w:object w:dxaOrig="8829" w:dyaOrig="3888">
          <v:shape id="_x0000_i1026" type="#_x0000_t75" style="width:441.4pt;height:194.7pt" o:ole="">
            <v:imagedata r:id="rId9" o:title=""/>
          </v:shape>
          <o:OLEObject Type="Embed" ProgID="MSGraph.Chart.8" ShapeID="_x0000_i1026" DrawAspect="Content" ObjectID="_1642573009" r:id="rId10">
            <o:FieldCodes>\s</o:FieldCodes>
          </o:OLEObject>
        </w:object>
      </w:r>
    </w:p>
    <w:p w:rsidR="0070546F" w:rsidRPr="006C760F" w:rsidRDefault="00CA2EF1" w:rsidP="00245193">
      <w:pPr>
        <w:tabs>
          <w:tab w:val="left" w:pos="10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 Відділом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економіки та інвестиції ведеться відстеження обсягів роздрібного товарообороту суб'єктів господарювання, які здійснюють діяльність з роздрібної торгівлі та оптового товарообігу. </w:t>
      </w:r>
      <w:r w:rsidR="0070546F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0546F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461CC" w:rsidRPr="006C760F" w:rsidRDefault="00D5120C" w:rsidP="00245193">
      <w:pPr>
        <w:tabs>
          <w:tab w:val="left" w:pos="10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Загальний обсяг роздрібного товарообороту підприємств</w:t>
      </w:r>
      <w:r w:rsidR="004F1EA3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роздрібно</w:t>
      </w:r>
      <w:r w:rsidR="00CA2EF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ї торгівлі </w:t>
      </w:r>
      <w:r w:rsidR="004E37AF" w:rsidRPr="006C760F">
        <w:rPr>
          <w:rFonts w:ascii="Times New Roman" w:hAnsi="Times New Roman" w:cs="Times New Roman"/>
          <w:sz w:val="24"/>
          <w:szCs w:val="24"/>
          <w:lang w:val="uk-UA"/>
        </w:rPr>
        <w:t>за січень – червень 2019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4E37AF" w:rsidRPr="006C760F">
        <w:rPr>
          <w:rFonts w:ascii="Times New Roman" w:hAnsi="Times New Roman" w:cs="Times New Roman"/>
          <w:sz w:val="24"/>
          <w:szCs w:val="24"/>
          <w:lang w:val="uk-UA"/>
        </w:rPr>
        <w:t>становить 44</w:t>
      </w:r>
      <w:r w:rsidR="00B702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2EF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515,00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тис. грн., що </w:t>
      </w:r>
      <w:r w:rsidR="004E37A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у відношенні до вказаного періоду 2018 року складає </w:t>
      </w:r>
      <w:r w:rsidR="001461C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81,3 </w:t>
      </w:r>
      <w:r w:rsidR="004E37A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%. </w:t>
      </w:r>
    </w:p>
    <w:p w:rsidR="00B436C4" w:rsidRPr="006C760F" w:rsidRDefault="00C75658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Запаси товарів </w:t>
      </w:r>
      <w:r w:rsidR="00711CBF" w:rsidRPr="006C760F">
        <w:rPr>
          <w:rFonts w:ascii="Times New Roman" w:hAnsi="Times New Roman" w:cs="Times New Roman"/>
          <w:sz w:val="24"/>
          <w:szCs w:val="24"/>
          <w:lang w:val="uk-UA"/>
        </w:rPr>
        <w:t>на 1 січня 2019 року</w:t>
      </w:r>
      <w:r w:rsidR="00B702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2EF1" w:rsidRPr="006C760F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B702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B702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134,3 тис. грн.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За показниками Єдиного державного реєстру підприємств та</w:t>
      </w:r>
      <w:r w:rsidR="00832A29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організацій України на 1 жовтня 2019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року в м. Чоп взято на облік 2</w:t>
      </w:r>
      <w:r w:rsidR="00832A29" w:rsidRPr="006C760F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юридичних осіб. Кількість суб’єктів ЄД</w:t>
      </w:r>
      <w:r w:rsidR="00341847" w:rsidRPr="006C760F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ПОУ за організаці</w:t>
      </w:r>
      <w:r w:rsidR="00832A29" w:rsidRPr="006C760F">
        <w:rPr>
          <w:rFonts w:ascii="Times New Roman" w:hAnsi="Times New Roman" w:cs="Times New Roman"/>
          <w:sz w:val="24"/>
          <w:szCs w:val="24"/>
          <w:lang w:val="uk-UA"/>
        </w:rPr>
        <w:t>йно-правовими формами на 1 жовтня 2019 року складає 228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, з них: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1 фермерське господарство;</w:t>
      </w:r>
    </w:p>
    <w:p w:rsidR="00B436C4" w:rsidRPr="006C760F" w:rsidRDefault="00832A29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приватних підприємств;</w:t>
      </w:r>
    </w:p>
    <w:p w:rsidR="00B436C4" w:rsidRPr="006C760F" w:rsidRDefault="00832A29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комунальних підприємств;</w:t>
      </w:r>
    </w:p>
    <w:p w:rsidR="00B436C4" w:rsidRPr="006C760F" w:rsidRDefault="00832A29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103 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>товариств з обмеженою відповідальністю;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1 виробничий кооператив;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3 державні організації(установи,заклади);</w:t>
      </w:r>
    </w:p>
    <w:p w:rsidR="00B436C4" w:rsidRPr="006C760F" w:rsidRDefault="00832A29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>комунальних організацій (установ, закладів);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1 інше об’єднання юридичних осіб;</w:t>
      </w:r>
    </w:p>
    <w:p w:rsidR="00B436C4" w:rsidRPr="006C760F" w:rsidRDefault="00832A29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політичних партій;</w:t>
      </w:r>
    </w:p>
    <w:p w:rsidR="00B436C4" w:rsidRPr="006C760F" w:rsidRDefault="00832A29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26 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>громадських організацій;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7 релігійних організацій;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14 профспілок, об’єднання профспілок;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5 благодійних організацій;</w:t>
      </w:r>
    </w:p>
    <w:p w:rsidR="00B436C4" w:rsidRPr="006C760F" w:rsidRDefault="00B436C4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lastRenderedPageBreak/>
        <w:t>3 об’єднання співвласників багатоквартирного будинку;</w:t>
      </w:r>
    </w:p>
    <w:p w:rsidR="00B436C4" w:rsidRPr="006C760F" w:rsidRDefault="00832A29" w:rsidP="0024519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відокремлених підрозділів без статусу юридичної особи:</w:t>
      </w:r>
    </w:p>
    <w:p w:rsidR="00B436C4" w:rsidRPr="006C760F" w:rsidRDefault="00832A29" w:rsidP="0024519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філій (інший відокремлений підрозділ);</w:t>
      </w:r>
    </w:p>
    <w:p w:rsidR="00D439CD" w:rsidRPr="006C760F" w:rsidRDefault="00BA226D" w:rsidP="0024519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2 представництва.</w:t>
      </w:r>
    </w:p>
    <w:p w:rsidR="00C8264C" w:rsidRPr="006C760F" w:rsidRDefault="00D5120C" w:rsidP="00245193">
      <w:pPr>
        <w:shd w:val="clear" w:color="auto" w:fill="FFFFFF"/>
        <w:spacing w:after="0" w:line="240" w:lineRule="auto"/>
        <w:ind w:firstLine="51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Відділом економіки та інвестицій ведеться моніторинг рівня життя населення міста. Так, 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>номінальна середньомісячна заробітна плата, нарахована на одного штатного працівника (без врахування  найманих працівників статистично малих підприємств та зайнятих у фізичних осіб – суб’єктів підприємницької</w:t>
      </w:r>
      <w:r w:rsidR="000D67AB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діяльності), за ІІІ</w:t>
      </w:r>
      <w:r w:rsidR="00BE1D9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квартал 2019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року становила </w:t>
      </w:r>
      <w:r w:rsidR="009D3E1D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="00CA2EF1" w:rsidRPr="006C760F">
        <w:rPr>
          <w:rFonts w:ascii="Times New Roman" w:hAnsi="Times New Roman" w:cs="Times New Roman"/>
          <w:sz w:val="24"/>
          <w:szCs w:val="24"/>
          <w:lang w:val="uk-UA"/>
        </w:rPr>
        <w:t>723</w:t>
      </w:r>
      <w:r w:rsidR="000D67AB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,00 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грн., що у відсотках до відповідного періоду минулого року складає </w:t>
      </w:r>
      <w:r w:rsidR="000D67AB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–116,5 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%.  </w:t>
      </w:r>
    </w:p>
    <w:p w:rsidR="00B436C4" w:rsidRPr="006C760F" w:rsidRDefault="009625E0" w:rsidP="00245193">
      <w:pPr>
        <w:tabs>
          <w:tab w:val="left" w:pos="10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Середньооблікова 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>кількість штатних працівн</w:t>
      </w:r>
      <w:r w:rsidR="009D3E1D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иків у м. </w:t>
      </w:r>
      <w:r w:rsidR="000D67AB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Чоп за ІІІ </w:t>
      </w:r>
      <w:r w:rsidR="00BE1D90" w:rsidRPr="006C760F">
        <w:rPr>
          <w:rFonts w:ascii="Times New Roman" w:hAnsi="Times New Roman" w:cs="Times New Roman"/>
          <w:sz w:val="24"/>
          <w:szCs w:val="24"/>
          <w:lang w:val="uk-UA"/>
        </w:rPr>
        <w:t>квартал 2019</w:t>
      </w:r>
      <w:r w:rsidR="00E57135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року становила</w:t>
      </w:r>
      <w:r w:rsidR="000D67AB" w:rsidRPr="006C760F">
        <w:rPr>
          <w:rFonts w:ascii="Times New Roman" w:hAnsi="Times New Roman" w:cs="Times New Roman"/>
          <w:sz w:val="24"/>
          <w:szCs w:val="24"/>
          <w:lang w:val="uk-UA"/>
        </w:rPr>
        <w:t>1444особи</w:t>
      </w:r>
      <w:r w:rsidR="00AC3020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60B00" w:rsidRPr="006C760F" w:rsidRDefault="00CC3214" w:rsidP="006C760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За статистичними даними заборгованість з виплати заробітної плати станом на 01.06.2019 року, за статистичними даними, становить 43,1  </w:t>
      </w:r>
      <w:proofErr w:type="spellStart"/>
      <w:r w:rsidRPr="006C760F">
        <w:rPr>
          <w:rFonts w:ascii="Times New Roman" w:hAnsi="Times New Roman" w:cs="Times New Roman"/>
          <w:sz w:val="24"/>
          <w:szCs w:val="24"/>
          <w:lang w:val="uk-UA"/>
        </w:rPr>
        <w:t>тис</w:t>
      </w:r>
      <w:r w:rsidR="00266503" w:rsidRPr="006C760F">
        <w:rPr>
          <w:rFonts w:ascii="Times New Roman" w:hAnsi="Times New Roman" w:cs="Times New Roman"/>
          <w:sz w:val="24"/>
          <w:szCs w:val="24"/>
          <w:lang w:val="uk-UA"/>
        </w:rPr>
        <w:t>.грн</w:t>
      </w:r>
      <w:proofErr w:type="spellEnd"/>
      <w:r w:rsidR="00266503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- МКП ЖКГ «Тиса»</w:t>
      </w:r>
      <w:r w:rsidR="00B810E6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Рішенням 27 сесії VII скликання Чопсь</w:t>
      </w:r>
      <w:r w:rsidR="000C4843" w:rsidRPr="006C760F">
        <w:rPr>
          <w:rFonts w:ascii="Times New Roman" w:hAnsi="Times New Roman" w:cs="Times New Roman"/>
          <w:sz w:val="24"/>
          <w:szCs w:val="24"/>
          <w:lang w:val="uk-UA"/>
        </w:rPr>
        <w:t>кої міської ради від 30.01.2018 року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№20 припинено юридичну особу МКП ЖКГ «Тиса» шляхом ліквідації, заборгованість із виплати заробітної плати буде погашено після продажу майна підприємства.</w:t>
      </w:r>
      <w:r w:rsidRPr="006C760F"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52791A" w:rsidRPr="006C760F">
        <w:rPr>
          <w:rFonts w:ascii="Times New Roman" w:hAnsi="Times New Roman" w:cs="Times New Roman"/>
          <w:sz w:val="24"/>
          <w:szCs w:val="24"/>
          <w:lang w:val="uk-UA"/>
        </w:rPr>
        <w:t>іквідатора МКП ЖКГ «Тиса» було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запрошено на засідання 32 сесії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Чопської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міської ради VII</w:t>
      </w:r>
      <w:r w:rsid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скли</w:t>
      </w:r>
      <w:r w:rsidR="000C4843" w:rsidRPr="006C760F">
        <w:rPr>
          <w:rFonts w:ascii="Times New Roman" w:hAnsi="Times New Roman" w:cs="Times New Roman"/>
          <w:sz w:val="24"/>
          <w:szCs w:val="24"/>
          <w:lang w:val="uk-UA"/>
        </w:rPr>
        <w:t>кання, яке відбулося 25.09.2018 року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, на яке він не з’явився, пояснень з цього приводу не надав.</w:t>
      </w:r>
    </w:p>
    <w:p w:rsidR="00D60B00" w:rsidRPr="006C760F" w:rsidRDefault="000C4843" w:rsidP="002451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>За результатами засідання міської комісії з питань своєчасності і повноти сплати податків та погашення заборгованості із заробітної плати та інших соціальних ви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плат, яке відбулося 20.06.2019 року </w:t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>було вияснено, що Управлінням Пенсійного фонду в Ужгородському районі також надсилалася вимога щодо процесу ліквідації, на сьо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годні змін немає, процес триває.</w:t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9D78D6" w:rsidRPr="006C760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152A" w:rsidRPr="006C760F">
        <w:rPr>
          <w:rFonts w:ascii="Times New Roman" w:hAnsi="Times New Roman" w:cs="Times New Roman"/>
          <w:sz w:val="24"/>
          <w:szCs w:val="24"/>
          <w:lang w:val="uk-UA"/>
        </w:rPr>
        <w:t>рік було укладено</w:t>
      </w:r>
      <w:r w:rsidR="009D3F4E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3F4E" w:rsidRPr="006C760F">
        <w:rPr>
          <w:rFonts w:ascii="Times New Roman" w:hAnsi="Times New Roman" w:cs="Times New Roman"/>
          <w:sz w:val="24"/>
          <w:szCs w:val="24"/>
          <w:lang w:val="uk-UA"/>
        </w:rPr>
        <w:t>додаткову угоду</w:t>
      </w:r>
      <w:r w:rsidR="00B436C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9D3E1D" w:rsidRPr="006C760F">
        <w:rPr>
          <w:rFonts w:ascii="Times New Roman" w:hAnsi="Times New Roman" w:cs="Times New Roman"/>
          <w:sz w:val="24"/>
          <w:szCs w:val="24"/>
          <w:lang w:val="uk-UA"/>
        </w:rPr>
        <w:t>продовження строку дії договору та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було укладено </w:t>
      </w:r>
      <w:r w:rsidR="00776B9F" w:rsidRPr="006C760F">
        <w:rPr>
          <w:rFonts w:ascii="Times New Roman" w:hAnsi="Times New Roman" w:cs="Times New Roman"/>
          <w:sz w:val="24"/>
          <w:szCs w:val="24"/>
          <w:lang w:val="uk-UA"/>
        </w:rPr>
        <w:t>25 договорів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з надання в оренду окремого елементу благоустрою, малої архітектурної форми, враховуючи і договори  оренд</w:t>
      </w:r>
      <w:r w:rsidR="00D84CFC" w:rsidRPr="006C760F">
        <w:rPr>
          <w:rFonts w:ascii="Times New Roman" w:hAnsi="Times New Roman" w:cs="Times New Roman"/>
          <w:sz w:val="24"/>
          <w:szCs w:val="24"/>
          <w:lang w:val="uk-UA"/>
        </w:rPr>
        <w:t>и у святкові дні.</w:t>
      </w:r>
      <w:r w:rsidR="00643D31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43D31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D3E1D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D3E1D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51221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Станом на </w:t>
      </w:r>
      <w:r w:rsidR="00D84CFC" w:rsidRPr="006C760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B407D" w:rsidRPr="006C760F">
        <w:rPr>
          <w:rFonts w:ascii="Times New Roman" w:hAnsi="Times New Roman" w:cs="Times New Roman"/>
          <w:sz w:val="24"/>
          <w:szCs w:val="24"/>
          <w:lang w:val="uk-UA"/>
        </w:rPr>
        <w:t>1.12</w:t>
      </w:r>
      <w:r w:rsidR="00D84CFC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9D78D6" w:rsidRPr="006C760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року надходження від орендної плати за користування цілісним майновим комплексом та іншим майном, що перебуває в комунальній власності становить –</w:t>
      </w:r>
      <w:r w:rsidR="00AF22CA" w:rsidRPr="006C760F">
        <w:rPr>
          <w:rFonts w:ascii="Times New Roman" w:hAnsi="Times New Roman" w:cs="Times New Roman"/>
          <w:sz w:val="24"/>
          <w:szCs w:val="24"/>
          <w:lang w:val="uk-UA"/>
        </w:rPr>
        <w:softHyphen/>
        <w:t xml:space="preserve"> 223 374,04 </w:t>
      </w:r>
      <w:proofErr w:type="spellStart"/>
      <w:r w:rsidR="00643D31" w:rsidRPr="006C760F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214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На даний час відділом розроблена Програма соціально-економічного</w:t>
      </w:r>
      <w:r w:rsidR="00836EA6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і культурного розвитку міста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Чоп на 201</w:t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>9 -2020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836EA6" w:rsidRPr="006C760F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Основними завданнями та заходами якої є </w:t>
      </w:r>
      <w:r w:rsidR="00D5120C" w:rsidRPr="006C760F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2112A0" w:rsidRPr="006C760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60B00" w:rsidRPr="006C76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-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постійного моніторингу надходжень податків і зборів, залучення додаткових джерел збільшення доходів бюджету міста, п</w:t>
      </w:r>
      <w:r w:rsidR="00D5120C" w:rsidRPr="006C760F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ідвищення результативності роботи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комісії з питань своєчасності та повноти сплати податків та погашення заборгованості із виплати заробітної плати та інших соціальних виплат;</w:t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- розроблення заходів щодо виведення у категорію працюючих та</w:t>
      </w:r>
      <w:r w:rsid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прибуткових підприємств, які декларують відсутність діяльності та збитковість; </w:t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8118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забезпечення заходів щодо припинення зростання боргу за податковими зобов’язаннями платників податків і зборів (обов’язкових платежів) та встановлення стійкої тенденції до скорочення його обсягів;</w:t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97C7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забезпечення у повному обсязі потреби в асигнуваннях на оплату праці працівників бюджетних установ відповідно до встановлених чинним законодавством умов праці та розміру мінімальної заробітної плати, на проведення розрахунків за енергоносії, які споживаються бюджетними установами, і інших захищених статей бюджету.</w:t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12A0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Програма соціально-економічного</w:t>
      </w:r>
      <w:r w:rsidR="00836EA6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і культурного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розвитку м. Чоп на 201</w:t>
      </w:r>
      <w:r w:rsidR="00836EA6" w:rsidRPr="006C760F">
        <w:rPr>
          <w:rFonts w:ascii="Times New Roman" w:hAnsi="Times New Roman" w:cs="Times New Roman"/>
          <w:sz w:val="24"/>
          <w:szCs w:val="24"/>
          <w:lang w:val="uk-UA"/>
        </w:rPr>
        <w:t>9-2020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836EA6" w:rsidRPr="006C760F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містить важливі завдання, які, у першу чергу, спрямовані на вирішення соціальних проблем жителів міста.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основних завдань та заходів Програми буде забезпечено шляхом подальшого фінансового оздоровлення підприємств провідних галузей економіки, нарощування обсягів виробництва конкурентоспроможної продукції, активізації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lastRenderedPageBreak/>
        <w:t>діяльності вітчизняних та іноземних інвесторів, забезпечення ефективного функціонування малого і середнього бізнесу та, на цій основі, збільшення надходжень до бюджетів усіх рівнів, що дасть можливість досягти позитивних зрушень у соціальній сфері та призведе до більш високого рівня соціально-економічного розвитку міста.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Відділом економіки та інвестицій забезпечується: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- моніторинг основних показників роботи промислових підприємств щомісячної звітності та надання інформації департаменту економічного розвитку і торгівлі Закарпатської обласної державної адміністрації щомісяця до 20 числа;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- спільно з Фінансовим управлінням забезпечується за рахунок коштів міського бюджету та інших джерел,</w:t>
      </w:r>
      <w:r w:rsidR="000C3144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не заборонених законодавством, </w:t>
      </w:r>
      <w:r w:rsidR="002B25BB" w:rsidRPr="006C760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півфінансування інве</w:t>
      </w:r>
      <w:r w:rsidR="00A51221" w:rsidRPr="006C760F">
        <w:rPr>
          <w:rFonts w:ascii="Times New Roman" w:hAnsi="Times New Roman" w:cs="Times New Roman"/>
          <w:sz w:val="24"/>
          <w:szCs w:val="24"/>
          <w:lang w:val="uk-UA"/>
        </w:rPr>
        <w:t>стиційних проектів, що реалізовува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тимуться у 201</w:t>
      </w:r>
      <w:r w:rsidR="00D12D2B" w:rsidRPr="006C760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році, із залученням фінансових ресурсів державного та обласного бюджетів;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- подання інформації про хід виконання заходів Програми розвитку малого і середнього підприємництва на 201</w:t>
      </w:r>
      <w:r w:rsidR="00DE5000" w:rsidRPr="006C760F">
        <w:rPr>
          <w:rFonts w:ascii="Times New Roman" w:hAnsi="Times New Roman" w:cs="Times New Roman"/>
          <w:sz w:val="24"/>
          <w:szCs w:val="24"/>
          <w:lang w:val="uk-UA"/>
        </w:rPr>
        <w:t>9 - 2020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роки департаменту економічного розвитку і торгівлі облдержадміністрації щокварталу до 15 числа, що настає за звітнім періодом;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- моніторинг основних показників розвитку туристично-рекреаційної галузі та готельного господарства усіх форм власності та подання інформації департаменту економічного розвитку і торгівлі облдержадміністрації щомісяця до 20 числа;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="00DE50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щотижневе подання інформації департаменту економічного розвитку і торгівлі Закарпатської обласної державної адміністрації звіт щодо використання коштів по проекту </w:t>
      </w:r>
      <w:r w:rsidR="008E556D" w:rsidRPr="006C760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DE5000" w:rsidRPr="006C760F">
        <w:rPr>
          <w:rFonts w:ascii="Times New Roman" w:hAnsi="Times New Roman" w:cs="Times New Roman"/>
          <w:sz w:val="24"/>
          <w:szCs w:val="24"/>
          <w:lang w:val="uk-UA"/>
        </w:rPr>
        <w:t>Будівництво водозабору на підземних свердловинах в м. Чоп по вул. Миру</w:t>
      </w:r>
      <w:r w:rsidR="00541D3D" w:rsidRPr="006C760F">
        <w:rPr>
          <w:rFonts w:ascii="Times New Roman" w:hAnsi="Times New Roman" w:cs="Times New Roman"/>
          <w:sz w:val="24"/>
          <w:szCs w:val="24"/>
          <w:lang w:val="uk-UA"/>
        </w:rPr>
        <w:t>» та «Будівництво ділянок мережі водопостачання в м. Чоп, Закарпатської області»</w:t>
      </w:r>
      <w:r w:rsidR="000C3144" w:rsidRPr="006C760F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- щомісячне подання інформації щодо реалізації інвестиційних проектів у 201</w:t>
      </w:r>
      <w:r w:rsidR="00EC1B07" w:rsidRPr="006C760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році за рахунок державного та місцевого бюджетів.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C3144" w:rsidRPr="006C760F">
        <w:rPr>
          <w:rFonts w:ascii="Times New Roman" w:hAnsi="Times New Roman" w:cs="Times New Roman"/>
          <w:sz w:val="24"/>
          <w:szCs w:val="24"/>
          <w:lang w:val="uk-UA"/>
        </w:rPr>
        <w:t>Основними цілями на 2020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рік Відділу економіки та інвестицій є досягнення балансу інтересів орендодавців щодо максимізації доходів від оренди комунального майна, орендарів щодо можливості користування комунальним майном для здійсне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>ння підприємницької діяльності:</w:t>
      </w:r>
    </w:p>
    <w:p w:rsidR="00D60B00" w:rsidRPr="006C760F" w:rsidRDefault="00D5120C" w:rsidP="00D60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установлення економічно виправданих і обґрунтованих розмірів орендної плати через переважне використання конкурентних сп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>особів передачі майна в оренду;</w:t>
      </w:r>
    </w:p>
    <w:p w:rsidR="00D60B00" w:rsidRPr="006C760F" w:rsidRDefault="00D5120C" w:rsidP="00D60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забезпечення відкритості, простоти та прозорості процедури надання комунального майна в оренду. підвищення ефективності системи управління та контролю за використанням комунального майна, зокрема за надходженням орендних платежів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725BFA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60B00" w:rsidRPr="006C760F" w:rsidRDefault="00D5120C" w:rsidP="00D60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роботи з  орендарями, щодо своєчасної плати за орендо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>ване приміщення;</w:t>
      </w:r>
    </w:p>
    <w:p w:rsidR="00D60B00" w:rsidRPr="006C760F" w:rsidRDefault="00D5120C" w:rsidP="00D60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продовження проведення інвентаризації комунального майна, з метою здійснення належного обліку майна комунальної власності, майна що не використовується та 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може бути передане в оренду 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на конкурентних засадах;</w:t>
      </w:r>
    </w:p>
    <w:p w:rsidR="00D60B00" w:rsidRPr="006C760F" w:rsidRDefault="00D5120C" w:rsidP="00D60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підвищення ефективності управління об’єктами державної та комунальної власності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60B00" w:rsidRPr="006C760F" w:rsidRDefault="00D5120C" w:rsidP="00D60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bCs/>
          <w:sz w:val="24"/>
          <w:szCs w:val="24"/>
          <w:lang w:val="uk-UA"/>
        </w:rPr>
        <w:t>удосконалення діяльності суб’єктів державного та комунального секторів економіки;</w:t>
      </w:r>
    </w:p>
    <w:p w:rsidR="00D60B00" w:rsidRPr="006C760F" w:rsidRDefault="00D5120C" w:rsidP="00D60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здійснення ефективного управління комунальною власністю шляхом оптимізації структури управління.</w:t>
      </w:r>
    </w:p>
    <w:p w:rsidR="00D60B00" w:rsidRPr="006C760F" w:rsidRDefault="00D60B00" w:rsidP="00D60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>здійснення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моніторинг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у інвестиційних проектів та подача заявок на участь в них;</w:t>
      </w:r>
      <w:r w:rsidR="00266503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66503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87D6F" w:rsidRPr="006C760F" w:rsidRDefault="00D5120C" w:rsidP="002451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Відділом розробляються та реєструються проекти у Міністерстві </w:t>
      </w:r>
      <w:r w:rsidR="00871607" w:rsidRPr="006C760F">
        <w:rPr>
          <w:rFonts w:ascii="Times New Roman" w:hAnsi="Times New Roman" w:cs="Times New Roman"/>
          <w:sz w:val="24"/>
          <w:szCs w:val="24"/>
          <w:lang w:val="uk-UA"/>
        </w:rPr>
        <w:t>регіонального розвитку України.</w:t>
      </w:r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D1236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D1236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D1236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D1236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D1236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Протягом 2019 року вдалося залучити інвестицій в сумі 5000,00 тис. грн. для впровадження головної цілі забезпечення мешканців міста питною водою, а саме: </w:t>
      </w:r>
      <w:r w:rsidR="00787D6F" w:rsidRPr="006C760F">
        <w:rPr>
          <w:rFonts w:ascii="Times New Roman" w:hAnsi="Times New Roman" w:cs="Times New Roman"/>
          <w:b/>
          <w:sz w:val="24"/>
          <w:szCs w:val="24"/>
          <w:lang w:val="uk-UA"/>
        </w:rPr>
        <w:t>«Будівництво водозабору на підземних свердловинах по вул. Миру в м. Чоп»</w:t>
      </w:r>
      <w:r w:rsidR="00516DF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="00516DFC" w:rsidRPr="006C760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3000,00 тис. </w:t>
      </w:r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>грн на «</w:t>
      </w:r>
      <w:r w:rsidR="00787D6F" w:rsidRPr="006C760F">
        <w:rPr>
          <w:rFonts w:ascii="Times New Roman" w:hAnsi="Times New Roman" w:cs="Times New Roman"/>
          <w:b/>
          <w:sz w:val="24"/>
          <w:szCs w:val="24"/>
          <w:lang w:val="uk-UA"/>
        </w:rPr>
        <w:t>Будівництво ділянок мережі водопостачання в м. Чоп, Закарпатської області»</w:t>
      </w:r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. Дані проекти </w:t>
      </w:r>
      <w:proofErr w:type="spellStart"/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>співфінансуються</w:t>
      </w:r>
      <w:proofErr w:type="spellEnd"/>
      <w:r w:rsidR="00787D6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коштами місцевого бюджету та коштами з державного фонду регіонального розвитку.</w:t>
      </w:r>
    </w:p>
    <w:p w:rsidR="00D5120C" w:rsidRPr="006C760F" w:rsidRDefault="00AF06F5" w:rsidP="0024519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На початку</w:t>
      </w:r>
      <w:r w:rsidR="00CA198F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2019 </w:t>
      </w: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року </w:t>
      </w:r>
      <w:r w:rsidR="009D3E1D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відділ </w:t>
      </w: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економіки та інвестицій подав до Департаменту економічного розвитку і торгівлі Закарпатської ОДА заявку на участь у загальнодержавному конкурсі щодо забезпечення центрів надання адміністративних послуг обладнанням для видачі паспортних документів, посвідчень водія та реєстрації транспортних засобів. Відповідно до постанови Кабінету Міністрів України від09.10.2019</w:t>
      </w:r>
      <w:r w:rsidR="00CA198F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р. </w:t>
      </w:r>
      <w:r w:rsidR="00E22BBE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№ </w:t>
      </w: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866 «Про затвердження Порядку використання коштів, передбачених у державному бюджеті для здійснення заходів із забезпечення центрів надання адміністративних послуг обладнанням для видачі паспортних документів, посвідчень водія та р</w:t>
      </w:r>
      <w:r w:rsidR="00CA198F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еєстрації транспортних засобів» </w:t>
      </w: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із </w:t>
      </w:r>
      <w:r w:rsidR="00CA198F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Закарпатської області міста </w:t>
      </w: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Чоп та Мука</w:t>
      </w:r>
      <w:r w:rsidR="00CA198F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чево </w:t>
      </w: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отримають вищезазначене обладнання у повному обсязі. </w:t>
      </w:r>
      <w:r w:rsidR="002532D6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 w:rsidR="002532D6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 w:rsidR="002532D6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 w:rsidR="002532D6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 w:rsidR="002532D6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 w:rsidR="002532D6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 w:rsidR="00FD0B21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Разом із</w:t>
      </w:r>
      <w:r w:rsidR="00D60B00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="00FD0B21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тим</w:t>
      </w:r>
      <w:r w:rsidR="00D60B00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="00FD0B21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нагадуємо,</w:t>
      </w:r>
      <w:r w:rsidR="00D60B00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="00FC3015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що</w:t>
      </w:r>
      <w:r w:rsidR="00D60B00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Управління Центр надання</w:t>
      </w:r>
      <w:r w:rsidR="00D60B00"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Pr="006C760F">
        <w:rPr>
          <w:rStyle w:val="ac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адміністративних послуг знаходиться на завершальному етапі співпраці з Програмою  “U-LEAD з Європою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>”, тож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B00" w:rsidRPr="006C760F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початку 2020</w:t>
      </w:r>
      <w:r w:rsidRPr="006C76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року планується</w:t>
      </w:r>
      <w:r w:rsidR="00D60B00" w:rsidRPr="006C76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C760F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відкриття модернізованого</w:t>
      </w:r>
      <w:r w:rsidR="00D60B00" w:rsidRPr="006C76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6C760F">
        <w:rPr>
          <w:rFonts w:ascii="Times New Roman" w:hAnsi="Times New Roman" w:cs="Times New Roman"/>
          <w:color w:val="000000"/>
          <w:sz w:val="24"/>
          <w:szCs w:val="24"/>
          <w:lang w:val="uk-UA"/>
        </w:rPr>
        <w:t>ЦНАПу</w:t>
      </w:r>
      <w:proofErr w:type="spellEnd"/>
      <w:r w:rsidR="00FC3015" w:rsidRPr="006C760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443E6" w:rsidRPr="006C760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ідділ</w:t>
      </w:r>
      <w:r w:rsidR="00EB152A" w:rsidRPr="006C760F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економіки та інвестицій розробляю</w:t>
      </w:r>
      <w:r w:rsidR="000C3144" w:rsidRPr="006C760F">
        <w:rPr>
          <w:rFonts w:ascii="Times New Roman" w:hAnsi="Times New Roman" w:cs="Times New Roman"/>
          <w:sz w:val="24"/>
          <w:szCs w:val="24"/>
          <w:lang w:val="uk-UA"/>
        </w:rPr>
        <w:t>ться проє</w:t>
      </w:r>
      <w:r w:rsidR="005322B6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кти рішень на розгляд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ради та виконавчого</w:t>
      </w:r>
      <w:r w:rsidR="00EB152A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комітету Чопської міської ради.</w:t>
      </w:r>
      <w:r w:rsidR="00B63952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74A8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74A8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74A8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74A8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74A8B" w:rsidRPr="006C760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443E6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Протягом 2019 </w:t>
      </w:r>
      <w:r w:rsidR="00680C49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 w:rsidR="00B77CB7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розроблено та </w:t>
      </w:r>
      <w:r w:rsidR="00016469" w:rsidRPr="006C760F">
        <w:rPr>
          <w:rFonts w:ascii="Times New Roman" w:hAnsi="Times New Roman" w:cs="Times New Roman"/>
          <w:sz w:val="24"/>
          <w:szCs w:val="24"/>
          <w:lang w:val="uk-UA"/>
        </w:rPr>
        <w:t>винесено на розгляд сесії Чопської міської ради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178F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17 </w:t>
      </w:r>
      <w:r w:rsidR="005443E6" w:rsidRPr="006C760F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bookmarkStart w:id="0" w:name="_GoBack"/>
      <w:bookmarkEnd w:id="0"/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246D" w:rsidRPr="006C760F">
        <w:rPr>
          <w:rFonts w:ascii="Times New Roman" w:hAnsi="Times New Roman" w:cs="Times New Roman"/>
          <w:sz w:val="24"/>
          <w:szCs w:val="24"/>
          <w:lang w:val="uk-UA"/>
        </w:rPr>
        <w:t>рішень</w:t>
      </w:r>
      <w:r w:rsidR="00365F48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B161A" w:rsidRPr="006C760F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43E6" w:rsidRPr="006C760F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4567A4" w:rsidRPr="006C760F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r w:rsidR="00D60B00" w:rsidRPr="006C76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120C" w:rsidRPr="006C760F">
        <w:rPr>
          <w:rFonts w:ascii="Times New Roman" w:hAnsi="Times New Roman" w:cs="Times New Roman"/>
          <w:sz w:val="24"/>
          <w:szCs w:val="24"/>
          <w:lang w:val="uk-UA"/>
        </w:rPr>
        <w:t>затверджено виконавчим комітетом Чопської міської ради</w:t>
      </w:r>
      <w:r w:rsidR="00957E0F" w:rsidRPr="006C760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5120C" w:rsidRPr="006C760F" w:rsidRDefault="00D5120C" w:rsidP="00071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7FE7" w:rsidRPr="006C760F" w:rsidRDefault="00ED7FE7" w:rsidP="00071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0C49" w:rsidRPr="006C760F" w:rsidRDefault="00680C49" w:rsidP="00071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783A" w:rsidRPr="006C760F" w:rsidRDefault="000D783A" w:rsidP="00071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120C" w:rsidRPr="006C760F" w:rsidRDefault="00187455" w:rsidP="00071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760F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</w:t>
      </w:r>
      <w:r w:rsidR="00F50709" w:rsidRPr="006C76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економіки та інвестицій</w:t>
      </w:r>
      <w:r w:rsidR="00CA78A5" w:rsidRPr="006C760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60B00" w:rsidRPr="006C76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CA78A5" w:rsidRPr="006C760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A5" w:rsidRPr="006C760F">
        <w:rPr>
          <w:rFonts w:ascii="Times New Roman" w:hAnsi="Times New Roman" w:cs="Times New Roman"/>
          <w:b/>
          <w:sz w:val="24"/>
          <w:szCs w:val="24"/>
          <w:lang w:val="uk-UA"/>
        </w:rPr>
        <w:tab/>
        <w:t>Тетяна ЧЕБАН</w:t>
      </w:r>
    </w:p>
    <w:p w:rsidR="0016246D" w:rsidRPr="006C760F" w:rsidRDefault="0016246D" w:rsidP="00071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16246D" w:rsidRPr="006C760F" w:rsidSect="001B7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8455D"/>
    <w:multiLevelType w:val="hybridMultilevel"/>
    <w:tmpl w:val="6A9EAF9E"/>
    <w:lvl w:ilvl="0" w:tplc="E786B750"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6427447"/>
    <w:multiLevelType w:val="hybridMultilevel"/>
    <w:tmpl w:val="0728DB28"/>
    <w:lvl w:ilvl="0" w:tplc="E786B750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D473C"/>
    <w:rsid w:val="000007A6"/>
    <w:rsid w:val="00000CED"/>
    <w:rsid w:val="00003C8E"/>
    <w:rsid w:val="00012CAE"/>
    <w:rsid w:val="00013751"/>
    <w:rsid w:val="00016469"/>
    <w:rsid w:val="00017F06"/>
    <w:rsid w:val="00037BCE"/>
    <w:rsid w:val="000401CD"/>
    <w:rsid w:val="000462D1"/>
    <w:rsid w:val="00066EA9"/>
    <w:rsid w:val="000716E0"/>
    <w:rsid w:val="0008118F"/>
    <w:rsid w:val="00086DBA"/>
    <w:rsid w:val="000876FA"/>
    <w:rsid w:val="000A0BA9"/>
    <w:rsid w:val="000A7172"/>
    <w:rsid w:val="000B0AB0"/>
    <w:rsid w:val="000C3144"/>
    <w:rsid w:val="000C4843"/>
    <w:rsid w:val="000D67AB"/>
    <w:rsid w:val="000D783A"/>
    <w:rsid w:val="000F7FE2"/>
    <w:rsid w:val="00112F2D"/>
    <w:rsid w:val="00144519"/>
    <w:rsid w:val="001461CC"/>
    <w:rsid w:val="00155A1D"/>
    <w:rsid w:val="0016246D"/>
    <w:rsid w:val="00162D8A"/>
    <w:rsid w:val="00170E84"/>
    <w:rsid w:val="00174437"/>
    <w:rsid w:val="00187455"/>
    <w:rsid w:val="001959B6"/>
    <w:rsid w:val="001A2B37"/>
    <w:rsid w:val="001A65CF"/>
    <w:rsid w:val="001B76AD"/>
    <w:rsid w:val="001D1236"/>
    <w:rsid w:val="001D5188"/>
    <w:rsid w:val="00210A58"/>
    <w:rsid w:val="002112A0"/>
    <w:rsid w:val="00223397"/>
    <w:rsid w:val="002373D4"/>
    <w:rsid w:val="00245193"/>
    <w:rsid w:val="002532D6"/>
    <w:rsid w:val="0025572B"/>
    <w:rsid w:val="00263F9E"/>
    <w:rsid w:val="00266503"/>
    <w:rsid w:val="002729B2"/>
    <w:rsid w:val="0028758D"/>
    <w:rsid w:val="002B25BB"/>
    <w:rsid w:val="002C69E2"/>
    <w:rsid w:val="002F2BDF"/>
    <w:rsid w:val="002F444B"/>
    <w:rsid w:val="002F45DA"/>
    <w:rsid w:val="00305E6A"/>
    <w:rsid w:val="00341847"/>
    <w:rsid w:val="00355844"/>
    <w:rsid w:val="00357B38"/>
    <w:rsid w:val="00365F48"/>
    <w:rsid w:val="00374A8B"/>
    <w:rsid w:val="003879FC"/>
    <w:rsid w:val="0039178F"/>
    <w:rsid w:val="00397C70"/>
    <w:rsid w:val="003D3FED"/>
    <w:rsid w:val="003F6127"/>
    <w:rsid w:val="00433B80"/>
    <w:rsid w:val="00443B4E"/>
    <w:rsid w:val="00444E7E"/>
    <w:rsid w:val="004567A4"/>
    <w:rsid w:val="004615FE"/>
    <w:rsid w:val="00464D5B"/>
    <w:rsid w:val="004A23AF"/>
    <w:rsid w:val="004B6DCE"/>
    <w:rsid w:val="004C5D4C"/>
    <w:rsid w:val="004D1BA5"/>
    <w:rsid w:val="004D1D2D"/>
    <w:rsid w:val="004E37AF"/>
    <w:rsid w:val="004F1EA3"/>
    <w:rsid w:val="004F33AD"/>
    <w:rsid w:val="005053CE"/>
    <w:rsid w:val="00510442"/>
    <w:rsid w:val="0051181D"/>
    <w:rsid w:val="00516DFC"/>
    <w:rsid w:val="0052250D"/>
    <w:rsid w:val="0052791A"/>
    <w:rsid w:val="005322B6"/>
    <w:rsid w:val="00541D3D"/>
    <w:rsid w:val="005443E6"/>
    <w:rsid w:val="005474F0"/>
    <w:rsid w:val="005565F7"/>
    <w:rsid w:val="00557E3A"/>
    <w:rsid w:val="00563C09"/>
    <w:rsid w:val="00564546"/>
    <w:rsid w:val="0056499B"/>
    <w:rsid w:val="005755F7"/>
    <w:rsid w:val="00593B24"/>
    <w:rsid w:val="00594451"/>
    <w:rsid w:val="005B0EA4"/>
    <w:rsid w:val="005D33DC"/>
    <w:rsid w:val="005D51C2"/>
    <w:rsid w:val="005D704A"/>
    <w:rsid w:val="005E119A"/>
    <w:rsid w:val="00606054"/>
    <w:rsid w:val="0061036F"/>
    <w:rsid w:val="00627157"/>
    <w:rsid w:val="006274C9"/>
    <w:rsid w:val="006334F0"/>
    <w:rsid w:val="00643D31"/>
    <w:rsid w:val="006533AC"/>
    <w:rsid w:val="00673E6A"/>
    <w:rsid w:val="00680C49"/>
    <w:rsid w:val="00682917"/>
    <w:rsid w:val="00690F3C"/>
    <w:rsid w:val="006A75A2"/>
    <w:rsid w:val="006C09A5"/>
    <w:rsid w:val="006C42A7"/>
    <w:rsid w:val="006C760F"/>
    <w:rsid w:val="006D2283"/>
    <w:rsid w:val="006E6F4E"/>
    <w:rsid w:val="0070546F"/>
    <w:rsid w:val="00711CBF"/>
    <w:rsid w:val="00714B16"/>
    <w:rsid w:val="00723970"/>
    <w:rsid w:val="00725BFA"/>
    <w:rsid w:val="00734B4E"/>
    <w:rsid w:val="00776B9F"/>
    <w:rsid w:val="00787D6F"/>
    <w:rsid w:val="007B6767"/>
    <w:rsid w:val="007D60EF"/>
    <w:rsid w:val="007E3481"/>
    <w:rsid w:val="007E7AE5"/>
    <w:rsid w:val="00807609"/>
    <w:rsid w:val="00832A29"/>
    <w:rsid w:val="00836EA6"/>
    <w:rsid w:val="00871607"/>
    <w:rsid w:val="00895497"/>
    <w:rsid w:val="008A1734"/>
    <w:rsid w:val="008B71A7"/>
    <w:rsid w:val="008C6131"/>
    <w:rsid w:val="008E556D"/>
    <w:rsid w:val="00933F5F"/>
    <w:rsid w:val="00943872"/>
    <w:rsid w:val="00957E0F"/>
    <w:rsid w:val="00960C07"/>
    <w:rsid w:val="009625E0"/>
    <w:rsid w:val="009956DC"/>
    <w:rsid w:val="009A683F"/>
    <w:rsid w:val="009A7BDD"/>
    <w:rsid w:val="009C1633"/>
    <w:rsid w:val="009C7349"/>
    <w:rsid w:val="009D3E1D"/>
    <w:rsid w:val="009D3F4E"/>
    <w:rsid w:val="009D49FF"/>
    <w:rsid w:val="009D78D6"/>
    <w:rsid w:val="009F2B51"/>
    <w:rsid w:val="009F6F88"/>
    <w:rsid w:val="00A42E56"/>
    <w:rsid w:val="00A51221"/>
    <w:rsid w:val="00AC3020"/>
    <w:rsid w:val="00AC74EA"/>
    <w:rsid w:val="00AE5905"/>
    <w:rsid w:val="00AF06F5"/>
    <w:rsid w:val="00AF22CA"/>
    <w:rsid w:val="00B11A2D"/>
    <w:rsid w:val="00B16E6B"/>
    <w:rsid w:val="00B30530"/>
    <w:rsid w:val="00B436C4"/>
    <w:rsid w:val="00B52FD6"/>
    <w:rsid w:val="00B63952"/>
    <w:rsid w:val="00B7024E"/>
    <w:rsid w:val="00B72D1F"/>
    <w:rsid w:val="00B75532"/>
    <w:rsid w:val="00B77CB7"/>
    <w:rsid w:val="00B810E6"/>
    <w:rsid w:val="00B85C8F"/>
    <w:rsid w:val="00BA0AE6"/>
    <w:rsid w:val="00BA226D"/>
    <w:rsid w:val="00BC5CC2"/>
    <w:rsid w:val="00BD2D10"/>
    <w:rsid w:val="00BE1D90"/>
    <w:rsid w:val="00C17314"/>
    <w:rsid w:val="00C22EB0"/>
    <w:rsid w:val="00C47FD6"/>
    <w:rsid w:val="00C75658"/>
    <w:rsid w:val="00C8264C"/>
    <w:rsid w:val="00C97054"/>
    <w:rsid w:val="00CA198F"/>
    <w:rsid w:val="00CA2EF1"/>
    <w:rsid w:val="00CA7551"/>
    <w:rsid w:val="00CA78A5"/>
    <w:rsid w:val="00CC3214"/>
    <w:rsid w:val="00CE3BFA"/>
    <w:rsid w:val="00CE48E8"/>
    <w:rsid w:val="00D12D2B"/>
    <w:rsid w:val="00D235A5"/>
    <w:rsid w:val="00D26B2C"/>
    <w:rsid w:val="00D439CD"/>
    <w:rsid w:val="00D45DFF"/>
    <w:rsid w:val="00D46C56"/>
    <w:rsid w:val="00D5120C"/>
    <w:rsid w:val="00D60B00"/>
    <w:rsid w:val="00D67A85"/>
    <w:rsid w:val="00D75CE0"/>
    <w:rsid w:val="00D77944"/>
    <w:rsid w:val="00D826D3"/>
    <w:rsid w:val="00D84CFC"/>
    <w:rsid w:val="00D84F67"/>
    <w:rsid w:val="00D86176"/>
    <w:rsid w:val="00D9325C"/>
    <w:rsid w:val="00DA7D27"/>
    <w:rsid w:val="00DB0E39"/>
    <w:rsid w:val="00DD473C"/>
    <w:rsid w:val="00DE358C"/>
    <w:rsid w:val="00DE5000"/>
    <w:rsid w:val="00E10014"/>
    <w:rsid w:val="00E143D9"/>
    <w:rsid w:val="00E15EDF"/>
    <w:rsid w:val="00E22BBE"/>
    <w:rsid w:val="00E22E5F"/>
    <w:rsid w:val="00E40F3F"/>
    <w:rsid w:val="00E427C2"/>
    <w:rsid w:val="00E5539A"/>
    <w:rsid w:val="00E57135"/>
    <w:rsid w:val="00E67BF3"/>
    <w:rsid w:val="00EA6D0A"/>
    <w:rsid w:val="00EB152A"/>
    <w:rsid w:val="00EC1B07"/>
    <w:rsid w:val="00ED4799"/>
    <w:rsid w:val="00ED7FE7"/>
    <w:rsid w:val="00EE53B6"/>
    <w:rsid w:val="00EE59D8"/>
    <w:rsid w:val="00EF4C40"/>
    <w:rsid w:val="00F03D59"/>
    <w:rsid w:val="00F11071"/>
    <w:rsid w:val="00F1455F"/>
    <w:rsid w:val="00F22C4F"/>
    <w:rsid w:val="00F50709"/>
    <w:rsid w:val="00F744CF"/>
    <w:rsid w:val="00F7594B"/>
    <w:rsid w:val="00F96135"/>
    <w:rsid w:val="00F96B96"/>
    <w:rsid w:val="00FA41CC"/>
    <w:rsid w:val="00FA5147"/>
    <w:rsid w:val="00FB161A"/>
    <w:rsid w:val="00FB407D"/>
    <w:rsid w:val="00FB511D"/>
    <w:rsid w:val="00FB54D3"/>
    <w:rsid w:val="00FC3015"/>
    <w:rsid w:val="00FC5D07"/>
    <w:rsid w:val="00FD0B21"/>
    <w:rsid w:val="00FD1A6D"/>
    <w:rsid w:val="00FD5774"/>
    <w:rsid w:val="00FE5926"/>
    <w:rsid w:val="00FF165E"/>
    <w:rsid w:val="00FF4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A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AF06F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AF06F5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AF06F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AF06F5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473C"/>
    <w:pPr>
      <w:spacing w:after="0" w:line="240" w:lineRule="auto"/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link w:val="a3"/>
    <w:locked/>
    <w:rsid w:val="00DD473C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rsid w:val="00DD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D473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D5120C"/>
    <w:pPr>
      <w:spacing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link w:val="a7"/>
    <w:rsid w:val="00D5120C"/>
    <w:rPr>
      <w:rFonts w:ascii="Times New Roman" w:hAnsi="Times New Roman"/>
      <w:sz w:val="28"/>
      <w:szCs w:val="20"/>
    </w:rPr>
  </w:style>
  <w:style w:type="paragraph" w:customStyle="1" w:styleId="11">
    <w:name w:val="Абзац списка1"/>
    <w:basedOn w:val="a"/>
    <w:rsid w:val="00D5120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D512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D5120C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link w:val="aa"/>
    <w:rsid w:val="00D5120C"/>
    <w:rPr>
      <w:rFonts w:ascii="Times New Roman" w:hAnsi="Times New Roman"/>
      <w:sz w:val="24"/>
      <w:szCs w:val="24"/>
    </w:rPr>
  </w:style>
  <w:style w:type="paragraph" w:customStyle="1" w:styleId="LO-Normal1">
    <w:name w:val="LO-Normal1"/>
    <w:rsid w:val="00D5120C"/>
    <w:pPr>
      <w:suppressAutoHyphens/>
    </w:pPr>
    <w:rPr>
      <w:rFonts w:ascii="Times New Roman" w:eastAsia="Arial" w:hAnsi="Times New Roman"/>
      <w:lang w:eastAsia="zh-CN"/>
    </w:rPr>
  </w:style>
  <w:style w:type="character" w:customStyle="1" w:styleId="textexposedshow">
    <w:name w:val="text_exposed_show"/>
    <w:rsid w:val="00AF06F5"/>
  </w:style>
  <w:style w:type="character" w:styleId="ac">
    <w:name w:val="Emphasis"/>
    <w:qFormat/>
    <w:locked/>
    <w:rsid w:val="00AF06F5"/>
    <w:rPr>
      <w:i/>
      <w:iCs/>
    </w:rPr>
  </w:style>
  <w:style w:type="character" w:customStyle="1" w:styleId="10">
    <w:name w:val="Заголовок 1 Знак"/>
    <w:link w:val="1"/>
    <w:rsid w:val="00AF06F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AF06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F06F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AF06F5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097EC-3B39-4DB9-BB3D-EDD1891D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5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235</cp:revision>
  <cp:lastPrinted>2019-01-02T09:54:00Z</cp:lastPrinted>
  <dcterms:created xsi:type="dcterms:W3CDTF">2017-10-19T14:38:00Z</dcterms:created>
  <dcterms:modified xsi:type="dcterms:W3CDTF">2020-02-07T07:30:00Z</dcterms:modified>
</cp:coreProperties>
</file>