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67" w:rsidRPr="00F60067" w:rsidRDefault="00F60067" w:rsidP="00F60067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0067">
        <w:rPr>
          <w:rFonts w:ascii="Times New Roman" w:hAnsi="Times New Roman" w:cs="Times New Roman"/>
          <w:b/>
          <w:sz w:val="28"/>
          <w:szCs w:val="28"/>
          <w:lang w:val="uk-UA"/>
        </w:rPr>
        <w:t>Додаток № 2 до договору оренди</w:t>
      </w:r>
    </w:p>
    <w:p w:rsidR="000430D1" w:rsidRPr="00BE35E4" w:rsidRDefault="000430D1" w:rsidP="000430D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 розташування малої архітектурної відповідає схемі затвердженої рішенням 25 сесії 7 скликання Чопської міської ради від 06 грудня 2017 року №11.</w:t>
      </w:r>
    </w:p>
    <w:p w:rsidR="000430D1" w:rsidRDefault="000430D1" w:rsidP="000430D1">
      <w:r>
        <w:rPr>
          <w:noProof/>
        </w:rPr>
        <w:drawing>
          <wp:inline distT="0" distB="0" distL="0" distR="0">
            <wp:extent cx="5650230" cy="3884372"/>
            <wp:effectExtent l="19050" t="0" r="7620" b="0"/>
            <wp:docPr id="2" name="Рисунок 1" descr="D:\економіка\Тетяна Звітність Щомісячна\рішення сесія\МАФ\Новая папка (2)\Додаток ст.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економіка\Тетяна Звітність Щомісячна\рішення сесія\МАФ\Новая папка (2)\Додаток ст. 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118" cy="388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AD0" w:rsidRDefault="00134AD0"/>
    <w:sectPr w:rsidR="00134AD0" w:rsidSect="007C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30D1"/>
    <w:rsid w:val="000430D1"/>
    <w:rsid w:val="00134AD0"/>
    <w:rsid w:val="00534470"/>
    <w:rsid w:val="00F6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0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2019-05-28T08:07:00Z</dcterms:created>
  <dcterms:modified xsi:type="dcterms:W3CDTF">2019-05-28T09:03:00Z</dcterms:modified>
</cp:coreProperties>
</file>