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656" w:rsidRDefault="00AD1FDA">
      <w:pPr>
        <w:spacing w:after="0" w:line="240" w:lineRule="auto"/>
        <w:jc w:val="center"/>
        <w:rPr>
          <w:b/>
          <w:sz w:val="32"/>
          <w:szCs w:val="32"/>
        </w:rPr>
      </w:pPr>
      <w:bookmarkStart w:id="0" w:name="_gjdgxs" w:colFirst="0" w:colLast="0"/>
      <w:bookmarkEnd w:id="0"/>
      <w:r>
        <w:rPr>
          <w:b/>
          <w:sz w:val="32"/>
          <w:szCs w:val="32"/>
        </w:rPr>
        <w:t>ТОВАРИСТВО З ОБМЕЖЕНОЮ ВІДПОВІДАЛЬНІСТЮ "АУДИТОРСЬКА ФІРМА "СТОЛИЦЯ-АУДИТ""</w:t>
      </w:r>
    </w:p>
    <w:p w:rsidR="003C3656" w:rsidRDefault="00AD1FDA">
      <w:pPr>
        <w:spacing w:after="0" w:line="240" w:lineRule="auto"/>
        <w:jc w:val="center"/>
        <w:rPr>
          <w:b/>
          <w:sz w:val="32"/>
          <w:szCs w:val="32"/>
        </w:rPr>
      </w:pPr>
      <w:r>
        <w:rPr>
          <w:b/>
          <w:sz w:val="20"/>
          <w:szCs w:val="20"/>
        </w:rPr>
        <w:t>ЄДРПОУ 33146727</w:t>
      </w:r>
    </w:p>
    <w:p w:rsidR="003C3656" w:rsidRDefault="00AD1FDA">
      <w:pPr>
        <w:spacing w:after="0" w:line="240" w:lineRule="auto"/>
        <w:jc w:val="center"/>
        <w:rPr>
          <w:sz w:val="20"/>
          <w:szCs w:val="20"/>
        </w:rPr>
      </w:pPr>
      <w:r>
        <w:rPr>
          <w:sz w:val="20"/>
          <w:szCs w:val="20"/>
        </w:rPr>
        <w:t xml:space="preserve">01015, </w:t>
      </w:r>
      <w:proofErr w:type="spellStart"/>
      <w:r>
        <w:rPr>
          <w:sz w:val="20"/>
          <w:szCs w:val="20"/>
        </w:rPr>
        <w:t>м.Київ</w:t>
      </w:r>
      <w:proofErr w:type="spellEnd"/>
      <w:r>
        <w:rPr>
          <w:sz w:val="20"/>
          <w:szCs w:val="20"/>
        </w:rPr>
        <w:t>, ВУЛИЦЯ ДОБРОВОЛЬЧИХ БАТАЛЬЙОНІВ, будинок 3</w:t>
      </w:r>
    </w:p>
    <w:p w:rsidR="003C3656" w:rsidRDefault="00AD1FDA">
      <w:pPr>
        <w:spacing w:after="0" w:line="240" w:lineRule="auto"/>
        <w:jc w:val="center"/>
        <w:rPr>
          <w:sz w:val="20"/>
          <w:szCs w:val="20"/>
        </w:rPr>
      </w:pPr>
      <w:proofErr w:type="spellStart"/>
      <w:r>
        <w:rPr>
          <w:sz w:val="20"/>
          <w:szCs w:val="20"/>
        </w:rPr>
        <w:t>Тел</w:t>
      </w:r>
      <w:proofErr w:type="spellEnd"/>
      <w:r>
        <w:rPr>
          <w:sz w:val="20"/>
          <w:szCs w:val="20"/>
        </w:rPr>
        <w:t xml:space="preserve">. (050) 372 13 47, </w:t>
      </w:r>
      <w:hyperlink r:id="rId7">
        <w:r>
          <w:rPr>
            <w:color w:val="0000FF"/>
            <w:sz w:val="20"/>
            <w:szCs w:val="20"/>
            <w:u w:val="single"/>
          </w:rPr>
          <w:t>audit@capital-audit.com.ua</w:t>
        </w:r>
      </w:hyperlink>
    </w:p>
    <w:p w:rsidR="003C3656" w:rsidRDefault="00AD1FDA">
      <w:pPr>
        <w:spacing w:after="0" w:line="240" w:lineRule="auto"/>
        <w:jc w:val="center"/>
        <w:rPr>
          <w:i/>
          <w:sz w:val="20"/>
          <w:szCs w:val="20"/>
        </w:rPr>
      </w:pPr>
      <w:r>
        <w:rPr>
          <w:i/>
          <w:sz w:val="20"/>
          <w:szCs w:val="20"/>
        </w:rPr>
        <w:t>Свідоцтво про включення до Реєстру аудиторських фірм та аудиторів № 3484</w:t>
      </w:r>
    </w:p>
    <w:p w:rsidR="003C3656" w:rsidRDefault="00AD1FDA">
      <w:pPr>
        <w:spacing w:after="0"/>
        <w:jc w:val="center"/>
        <w:rPr>
          <w:sz w:val="18"/>
          <w:szCs w:val="18"/>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25400" cy="25400"/>
                <wp:effectExtent l="0" t="0" r="0" b="0"/>
                <wp:wrapNone/>
                <wp:docPr id="1" name="Пряма зі стрілкою 1"/>
                <wp:cNvGraphicFramePr/>
                <a:graphic xmlns:a="http://schemas.openxmlformats.org/drawingml/2006/main">
                  <a:graphicData uri="http://schemas.microsoft.com/office/word/2010/wordprocessingShape">
                    <wps:wsp>
                      <wps:cNvCnPr/>
                      <wps:spPr>
                        <a:xfrm>
                          <a:off x="2340863" y="3780000"/>
                          <a:ext cx="6010275" cy="0"/>
                        </a:xfrm>
                        <a:prstGeom prst="straightConnector1">
                          <a:avLst/>
                        </a:prstGeom>
                        <a:solidFill>
                          <a:srgbClr val="FFFFFF"/>
                        </a:solidFill>
                        <a:ln w="12700"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5400" cy="25400"/>
                        </a:xfrm>
                        <a:prstGeom prst="rect"/>
                        <a:ln/>
                      </pic:spPr>
                    </pic:pic>
                  </a:graphicData>
                </a:graphic>
              </wp:anchor>
            </w:drawing>
          </mc:Fallback>
        </mc:AlternateContent>
      </w:r>
    </w:p>
    <w:p w:rsidR="003C3656" w:rsidRDefault="003C3656">
      <w:pPr>
        <w:spacing w:after="0"/>
        <w:jc w:val="center"/>
        <w:rPr>
          <w:sz w:val="18"/>
          <w:szCs w:val="18"/>
        </w:rPr>
      </w:pPr>
    </w:p>
    <w:p w:rsidR="003C3656" w:rsidRDefault="003C3656">
      <w:pPr>
        <w:spacing w:after="0" w:line="259" w:lineRule="auto"/>
        <w:ind w:left="3827" w:right="0" w:firstLine="0"/>
        <w:jc w:val="left"/>
      </w:pPr>
    </w:p>
    <w:p w:rsidR="003C3656" w:rsidRDefault="003C3656">
      <w:pPr>
        <w:spacing w:after="0" w:line="259" w:lineRule="auto"/>
        <w:ind w:right="0" w:firstLine="0"/>
        <w:jc w:val="left"/>
      </w:pPr>
    </w:p>
    <w:p w:rsidR="003C3656" w:rsidRDefault="003C3656">
      <w:pPr>
        <w:spacing w:after="16" w:line="259" w:lineRule="auto"/>
        <w:ind w:right="0" w:firstLine="0"/>
        <w:jc w:val="left"/>
      </w:pPr>
    </w:p>
    <w:p w:rsidR="003C3656" w:rsidRDefault="003C3656">
      <w:pPr>
        <w:spacing w:after="0" w:line="259" w:lineRule="auto"/>
        <w:ind w:right="0" w:firstLine="0"/>
        <w:jc w:val="left"/>
      </w:pPr>
    </w:p>
    <w:p w:rsidR="003C3656" w:rsidRDefault="003C3656">
      <w:pPr>
        <w:spacing w:after="0" w:line="259" w:lineRule="auto"/>
        <w:ind w:right="0" w:firstLine="0"/>
        <w:jc w:val="left"/>
      </w:pPr>
    </w:p>
    <w:p w:rsidR="003C3656" w:rsidRDefault="003C3656">
      <w:pPr>
        <w:spacing w:after="0" w:line="259" w:lineRule="auto"/>
        <w:ind w:right="0" w:firstLine="0"/>
        <w:jc w:val="left"/>
      </w:pPr>
    </w:p>
    <w:p w:rsidR="003C3656" w:rsidRDefault="003C3656">
      <w:pPr>
        <w:spacing w:after="0" w:line="259" w:lineRule="auto"/>
        <w:ind w:right="0" w:firstLine="0"/>
        <w:jc w:val="left"/>
      </w:pPr>
    </w:p>
    <w:p w:rsidR="003C3656" w:rsidRDefault="003C3656">
      <w:pPr>
        <w:spacing w:after="0" w:line="259" w:lineRule="auto"/>
        <w:ind w:right="0" w:firstLine="0"/>
        <w:jc w:val="left"/>
      </w:pPr>
    </w:p>
    <w:p w:rsidR="003C3656" w:rsidRDefault="003C3656">
      <w:pPr>
        <w:spacing w:after="196" w:line="259" w:lineRule="auto"/>
        <w:ind w:right="0" w:firstLine="0"/>
        <w:jc w:val="left"/>
      </w:pPr>
    </w:p>
    <w:p w:rsidR="003C3656" w:rsidRDefault="003C3656">
      <w:pPr>
        <w:pStyle w:val="1"/>
      </w:pPr>
    </w:p>
    <w:p w:rsidR="003C3656" w:rsidRDefault="00AD1FDA">
      <w:pPr>
        <w:pBdr>
          <w:top w:val="nil"/>
          <w:left w:val="nil"/>
          <w:bottom w:val="nil"/>
          <w:right w:val="nil"/>
          <w:between w:val="nil"/>
        </w:pBdr>
        <w:spacing w:after="0" w:line="240" w:lineRule="auto"/>
        <w:jc w:val="center"/>
        <w:rPr>
          <w:color w:val="000000"/>
          <w:sz w:val="48"/>
          <w:szCs w:val="48"/>
        </w:rPr>
      </w:pPr>
      <w:r>
        <w:rPr>
          <w:color w:val="000000"/>
          <w:sz w:val="48"/>
          <w:szCs w:val="48"/>
        </w:rPr>
        <w:t>ЗВІТ НЕЗАЛЕЖНОГО АУДИТОРА</w:t>
      </w:r>
    </w:p>
    <w:p w:rsidR="003C3656" w:rsidRDefault="003C3656">
      <w:pPr>
        <w:spacing w:after="0" w:line="259" w:lineRule="auto"/>
        <w:ind w:left="0" w:right="153" w:firstLine="0"/>
        <w:jc w:val="center"/>
        <w:rPr>
          <w:color w:val="000000"/>
        </w:rPr>
      </w:pPr>
    </w:p>
    <w:p w:rsidR="003C3656" w:rsidRDefault="003C3656">
      <w:pPr>
        <w:spacing w:after="0" w:line="259" w:lineRule="auto"/>
        <w:ind w:left="0" w:right="153" w:firstLine="0"/>
        <w:jc w:val="center"/>
      </w:pPr>
    </w:p>
    <w:p w:rsidR="003C3656" w:rsidRDefault="003C3656">
      <w:pPr>
        <w:spacing w:after="0" w:line="259" w:lineRule="auto"/>
        <w:ind w:left="0" w:right="153" w:firstLine="0"/>
        <w:jc w:val="center"/>
      </w:pPr>
    </w:p>
    <w:p w:rsidR="003C3656" w:rsidRDefault="003C3656">
      <w:pPr>
        <w:spacing w:after="0" w:line="259" w:lineRule="auto"/>
        <w:ind w:left="0" w:right="153" w:firstLine="0"/>
        <w:jc w:val="center"/>
      </w:pPr>
    </w:p>
    <w:p w:rsidR="003C3656" w:rsidRDefault="003C3656">
      <w:pPr>
        <w:spacing w:after="0" w:line="259" w:lineRule="auto"/>
        <w:ind w:left="0" w:right="153" w:firstLine="0"/>
        <w:jc w:val="center"/>
      </w:pPr>
    </w:p>
    <w:p w:rsidR="003C3656" w:rsidRDefault="003C3656">
      <w:pPr>
        <w:spacing w:after="0" w:line="259" w:lineRule="auto"/>
        <w:ind w:left="0" w:right="153" w:firstLine="0"/>
        <w:jc w:val="center"/>
      </w:pPr>
    </w:p>
    <w:p w:rsidR="003C3656" w:rsidRDefault="003C3656">
      <w:pPr>
        <w:spacing w:after="0" w:line="259" w:lineRule="auto"/>
        <w:ind w:left="0" w:right="153" w:firstLine="0"/>
        <w:jc w:val="center"/>
      </w:pPr>
    </w:p>
    <w:p w:rsidR="003C3656" w:rsidRDefault="003C3656">
      <w:pPr>
        <w:spacing w:after="0" w:line="259" w:lineRule="auto"/>
        <w:ind w:left="0" w:right="153" w:firstLine="0"/>
        <w:jc w:val="center"/>
      </w:pPr>
    </w:p>
    <w:p w:rsidR="003C3656" w:rsidRDefault="003C3656">
      <w:pPr>
        <w:spacing w:after="0" w:line="259" w:lineRule="auto"/>
        <w:ind w:left="0" w:right="153" w:firstLine="0"/>
        <w:jc w:val="center"/>
      </w:pPr>
    </w:p>
    <w:p w:rsidR="003C3656" w:rsidRDefault="003C3656">
      <w:pPr>
        <w:spacing w:after="0" w:line="259" w:lineRule="auto"/>
        <w:ind w:left="0" w:right="153" w:firstLine="0"/>
        <w:jc w:val="center"/>
      </w:pPr>
    </w:p>
    <w:p w:rsidR="003C3656" w:rsidRDefault="003C3656">
      <w:pPr>
        <w:spacing w:after="0" w:line="259" w:lineRule="auto"/>
        <w:ind w:left="0" w:right="153" w:firstLine="0"/>
        <w:jc w:val="center"/>
      </w:pPr>
    </w:p>
    <w:p w:rsidR="003C3656" w:rsidRDefault="003C3656">
      <w:pPr>
        <w:spacing w:after="0" w:line="259" w:lineRule="auto"/>
        <w:ind w:left="0" w:right="153" w:firstLine="0"/>
        <w:jc w:val="center"/>
      </w:pPr>
    </w:p>
    <w:p w:rsidR="003C3656" w:rsidRDefault="003C3656">
      <w:pPr>
        <w:spacing w:after="0" w:line="259" w:lineRule="auto"/>
        <w:ind w:left="0" w:right="153" w:firstLine="0"/>
        <w:jc w:val="center"/>
      </w:pPr>
    </w:p>
    <w:p w:rsidR="003C3656" w:rsidRDefault="003C3656">
      <w:pPr>
        <w:spacing w:after="0" w:line="259" w:lineRule="auto"/>
        <w:ind w:left="0" w:right="153" w:firstLine="0"/>
        <w:jc w:val="center"/>
      </w:pPr>
    </w:p>
    <w:p w:rsidR="003C3656" w:rsidRDefault="00AD1FDA">
      <w:pPr>
        <w:pBdr>
          <w:top w:val="nil"/>
          <w:left w:val="nil"/>
          <w:bottom w:val="nil"/>
          <w:right w:val="nil"/>
          <w:between w:val="nil"/>
        </w:pBdr>
        <w:spacing w:after="0" w:line="240" w:lineRule="auto"/>
        <w:rPr>
          <w:color w:val="000000"/>
        </w:rPr>
      </w:pPr>
      <w:r>
        <w:rPr>
          <w:color w:val="000000"/>
        </w:rPr>
        <w:t xml:space="preserve">НАЛЕЖНИЙ АДРЕСАТ:  </w:t>
      </w:r>
    </w:p>
    <w:p w:rsidR="003C3656" w:rsidRDefault="00AD1FDA">
      <w:pPr>
        <w:spacing w:after="239"/>
        <w:ind w:left="11" w:right="218" w:hanging="10"/>
        <w:rPr>
          <w:sz w:val="32"/>
          <w:szCs w:val="32"/>
        </w:rPr>
      </w:pPr>
      <w:r>
        <w:rPr>
          <w:b/>
          <w:i/>
          <w:sz w:val="32"/>
          <w:szCs w:val="32"/>
        </w:rPr>
        <w:t xml:space="preserve">Керівництво Комунального підприємства Чопської міської ради «Чистий Чоп»  </w:t>
      </w:r>
    </w:p>
    <w:p w:rsidR="003C3656" w:rsidRDefault="003C3656">
      <w:pPr>
        <w:spacing w:after="0" w:line="259" w:lineRule="auto"/>
        <w:ind w:left="0" w:right="168" w:firstLine="0"/>
        <w:jc w:val="right"/>
      </w:pPr>
    </w:p>
    <w:p w:rsidR="003C3656" w:rsidRDefault="003C3656">
      <w:pPr>
        <w:spacing w:after="0" w:line="259" w:lineRule="auto"/>
        <w:ind w:right="0" w:firstLine="0"/>
        <w:jc w:val="left"/>
      </w:pPr>
    </w:p>
    <w:p w:rsidR="003C3656" w:rsidRDefault="003C3656">
      <w:pPr>
        <w:spacing w:after="0" w:line="259" w:lineRule="auto"/>
        <w:ind w:right="0" w:firstLine="0"/>
        <w:jc w:val="left"/>
      </w:pPr>
    </w:p>
    <w:p w:rsidR="003C3656" w:rsidRDefault="003C3656"/>
    <w:p w:rsidR="003C3656" w:rsidRDefault="003C3656"/>
    <w:p w:rsidR="003C3656" w:rsidRDefault="003C3656"/>
    <w:p w:rsidR="003C3656" w:rsidRDefault="00AD1FDA">
      <w:pPr>
        <w:jc w:val="center"/>
        <w:rPr>
          <w:b/>
        </w:rPr>
      </w:pPr>
      <w:r>
        <w:rPr>
          <w:b/>
        </w:rPr>
        <w:t>ЗВІТ  ЩОДО  АУДИТУ ФІНАНСОВОЇ ЗВТНОСТІ</w:t>
      </w:r>
    </w:p>
    <w:p w:rsidR="003C3656" w:rsidRDefault="00AD1FDA">
      <w:pPr>
        <w:spacing w:after="239"/>
        <w:ind w:left="11" w:right="218" w:hanging="10"/>
      </w:pPr>
      <w:r>
        <w:rPr>
          <w:b/>
          <w:i/>
          <w:sz w:val="32"/>
          <w:szCs w:val="32"/>
        </w:rPr>
        <w:lastRenderedPageBreak/>
        <w:t>Комунального підприємства Чопської міської ради «Чистий  Чоп» станом на 31.12.2018 р. та за рік, що закінчується на вказану дату.</w:t>
      </w:r>
    </w:p>
    <w:p w:rsidR="003C3656" w:rsidRDefault="003C3656">
      <w:pPr>
        <w:spacing w:after="0" w:line="259" w:lineRule="auto"/>
        <w:ind w:right="0" w:firstLine="0"/>
        <w:jc w:val="left"/>
      </w:pPr>
    </w:p>
    <w:p w:rsidR="003C3656" w:rsidRDefault="003C3656">
      <w:pPr>
        <w:spacing w:after="0" w:line="259" w:lineRule="auto"/>
        <w:ind w:right="0" w:firstLine="0"/>
        <w:jc w:val="left"/>
      </w:pPr>
    </w:p>
    <w:p w:rsidR="003C3656" w:rsidRDefault="00AD1FDA">
      <w:pPr>
        <w:ind w:hanging="1"/>
        <w:rPr>
          <w:b/>
        </w:rPr>
      </w:pPr>
      <w:r>
        <w:rPr>
          <w:b/>
        </w:rPr>
        <w:t xml:space="preserve">ДУМКА  ІЗ  ЗАСТЕРЕЖЕННЯМИ </w:t>
      </w:r>
    </w:p>
    <w:p w:rsidR="003C3656" w:rsidRDefault="003C3656">
      <w:pPr>
        <w:spacing w:after="0" w:line="259" w:lineRule="auto"/>
        <w:ind w:left="1278" w:right="0" w:firstLine="0"/>
        <w:jc w:val="left"/>
      </w:pPr>
    </w:p>
    <w:p w:rsidR="003C3656" w:rsidRDefault="00AD1FDA">
      <w:pPr>
        <w:ind w:left="-13" w:right="220"/>
      </w:pPr>
      <w:r>
        <w:t xml:space="preserve">Незалежною аудиторською фірмою Товариством з обмеженою відповідальністю «Аудиторська фірма «Столиця-Аудит»»  проведено аудит фінансової звітності Комунального підприємства Чопської міської ради «Чистий Чоп» (далі по тексту - Підприємство)  станом на 31 грудня 2018 р. та за рік, що закінчився на вказану дату. </w:t>
      </w:r>
    </w:p>
    <w:p w:rsidR="003C3656" w:rsidRDefault="003C3656">
      <w:pPr>
        <w:spacing w:after="0" w:line="259" w:lineRule="auto"/>
        <w:ind w:left="568" w:right="0" w:firstLine="0"/>
        <w:jc w:val="left"/>
      </w:pPr>
    </w:p>
    <w:p w:rsidR="003C3656" w:rsidRDefault="00AD1FDA">
      <w:pPr>
        <w:ind w:left="-13" w:right="220"/>
      </w:pPr>
      <w:r>
        <w:t xml:space="preserve">Основні відомості про підприємство, фінансова звітність якого пройшла аудит: </w:t>
      </w:r>
    </w:p>
    <w:tbl>
      <w:tblPr>
        <w:tblStyle w:val="a5"/>
        <w:tblW w:w="9358" w:type="dxa"/>
        <w:tblInd w:w="-130" w:type="dxa"/>
        <w:tblLayout w:type="fixed"/>
        <w:tblLook w:val="0400" w:firstRow="0" w:lastRow="0" w:firstColumn="0" w:lastColumn="0" w:noHBand="0" w:noVBand="1"/>
      </w:tblPr>
      <w:tblGrid>
        <w:gridCol w:w="3828"/>
        <w:gridCol w:w="5530"/>
      </w:tblGrid>
      <w:tr w:rsidR="003C3656">
        <w:trPr>
          <w:trHeight w:val="1120"/>
        </w:trPr>
        <w:tc>
          <w:tcPr>
            <w:tcW w:w="3828" w:type="dxa"/>
            <w:tcBorders>
              <w:top w:val="single" w:sz="6" w:space="0" w:color="000000"/>
              <w:left w:val="single" w:sz="6" w:space="0" w:color="000000"/>
              <w:bottom w:val="single" w:sz="6" w:space="0" w:color="000000"/>
              <w:right w:val="single" w:sz="6" w:space="0" w:color="000000"/>
            </w:tcBorders>
            <w:vAlign w:val="center"/>
          </w:tcPr>
          <w:p w:rsidR="003C3656" w:rsidRDefault="00AD1FDA">
            <w:pPr>
              <w:spacing w:line="259" w:lineRule="auto"/>
              <w:ind w:left="142" w:right="0" w:firstLine="0"/>
              <w:jc w:val="left"/>
            </w:pPr>
            <w:r>
              <w:rPr>
                <w:sz w:val="24"/>
                <w:szCs w:val="24"/>
              </w:rPr>
              <w:t xml:space="preserve">Повне найменування </w:t>
            </w:r>
          </w:p>
        </w:tc>
        <w:tc>
          <w:tcPr>
            <w:tcW w:w="5530" w:type="dxa"/>
            <w:tcBorders>
              <w:top w:val="single" w:sz="6" w:space="0" w:color="000000"/>
              <w:left w:val="single" w:sz="6" w:space="0" w:color="000000"/>
              <w:bottom w:val="single" w:sz="6" w:space="0" w:color="000000"/>
              <w:right w:val="single" w:sz="6" w:space="0" w:color="000000"/>
            </w:tcBorders>
          </w:tcPr>
          <w:p w:rsidR="003C3656" w:rsidRDefault="00AD1FDA">
            <w:pPr>
              <w:spacing w:line="259" w:lineRule="auto"/>
              <w:ind w:left="108" w:right="0" w:firstLine="0"/>
              <w:jc w:val="left"/>
              <w:rPr>
                <w:sz w:val="24"/>
                <w:szCs w:val="24"/>
              </w:rPr>
            </w:pPr>
            <w:r>
              <w:rPr>
                <w:sz w:val="24"/>
                <w:szCs w:val="24"/>
              </w:rPr>
              <w:t>Комунальне підприємство Чопської міської ради " Чистий Чоп"</w:t>
            </w:r>
          </w:p>
        </w:tc>
      </w:tr>
      <w:tr w:rsidR="003C3656">
        <w:trPr>
          <w:trHeight w:val="840"/>
        </w:trPr>
        <w:tc>
          <w:tcPr>
            <w:tcW w:w="3828" w:type="dxa"/>
            <w:tcBorders>
              <w:top w:val="single" w:sz="6" w:space="0" w:color="000000"/>
              <w:left w:val="single" w:sz="6" w:space="0" w:color="000000"/>
              <w:bottom w:val="single" w:sz="6" w:space="0" w:color="000000"/>
              <w:right w:val="single" w:sz="6" w:space="0" w:color="000000"/>
            </w:tcBorders>
          </w:tcPr>
          <w:p w:rsidR="003C3656" w:rsidRDefault="00AD1FDA">
            <w:pPr>
              <w:spacing w:line="259" w:lineRule="auto"/>
              <w:ind w:left="108" w:right="0" w:firstLine="34"/>
              <w:jc w:val="left"/>
            </w:pPr>
            <w:r>
              <w:rPr>
                <w:sz w:val="24"/>
                <w:szCs w:val="24"/>
              </w:rPr>
              <w:t xml:space="preserve">Код за Єдиним державним реєстром підприємств та організацій України </w:t>
            </w:r>
          </w:p>
        </w:tc>
        <w:tc>
          <w:tcPr>
            <w:tcW w:w="5530" w:type="dxa"/>
            <w:tcBorders>
              <w:top w:val="single" w:sz="6" w:space="0" w:color="000000"/>
              <w:left w:val="single" w:sz="6" w:space="0" w:color="000000"/>
              <w:bottom w:val="single" w:sz="6" w:space="0" w:color="000000"/>
              <w:right w:val="single" w:sz="6" w:space="0" w:color="000000"/>
            </w:tcBorders>
            <w:vAlign w:val="center"/>
          </w:tcPr>
          <w:p w:rsidR="003C3656" w:rsidRDefault="00AD1FDA">
            <w:pPr>
              <w:spacing w:line="259" w:lineRule="auto"/>
              <w:ind w:left="108" w:right="0" w:firstLine="0"/>
              <w:jc w:val="left"/>
              <w:rPr>
                <w:sz w:val="24"/>
                <w:szCs w:val="24"/>
              </w:rPr>
            </w:pPr>
            <w:r>
              <w:rPr>
                <w:sz w:val="24"/>
                <w:szCs w:val="24"/>
              </w:rPr>
              <w:t>40361719</w:t>
            </w:r>
          </w:p>
        </w:tc>
      </w:tr>
      <w:tr w:rsidR="003C3656">
        <w:trPr>
          <w:trHeight w:val="560"/>
        </w:trPr>
        <w:tc>
          <w:tcPr>
            <w:tcW w:w="3828" w:type="dxa"/>
            <w:tcBorders>
              <w:top w:val="single" w:sz="6" w:space="0" w:color="000000"/>
              <w:left w:val="single" w:sz="6" w:space="0" w:color="000000"/>
              <w:bottom w:val="single" w:sz="6" w:space="0" w:color="000000"/>
              <w:right w:val="single" w:sz="6" w:space="0" w:color="000000"/>
            </w:tcBorders>
            <w:vAlign w:val="center"/>
          </w:tcPr>
          <w:p w:rsidR="003C3656" w:rsidRDefault="00AD1FDA">
            <w:pPr>
              <w:spacing w:line="259" w:lineRule="auto"/>
              <w:ind w:left="142" w:right="0" w:firstLine="0"/>
              <w:jc w:val="left"/>
              <w:rPr>
                <w:color w:val="000000"/>
              </w:rPr>
            </w:pPr>
            <w:r>
              <w:rPr>
                <w:color w:val="000000"/>
                <w:sz w:val="24"/>
                <w:szCs w:val="24"/>
              </w:rPr>
              <w:t xml:space="preserve">Місцезнаходження </w:t>
            </w:r>
          </w:p>
        </w:tc>
        <w:tc>
          <w:tcPr>
            <w:tcW w:w="5530" w:type="dxa"/>
            <w:tcBorders>
              <w:top w:val="single" w:sz="6" w:space="0" w:color="000000"/>
              <w:left w:val="single" w:sz="6" w:space="0" w:color="000000"/>
              <w:bottom w:val="single" w:sz="6" w:space="0" w:color="000000"/>
              <w:right w:val="single" w:sz="6" w:space="0" w:color="000000"/>
            </w:tcBorders>
          </w:tcPr>
          <w:p w:rsidR="003C3656" w:rsidRDefault="00AD1FDA">
            <w:pPr>
              <w:jc w:val="left"/>
              <w:rPr>
                <w:color w:val="000000"/>
                <w:sz w:val="24"/>
                <w:szCs w:val="24"/>
              </w:rPr>
            </w:pPr>
            <w:r>
              <w:rPr>
                <w:color w:val="000000"/>
                <w:sz w:val="24"/>
                <w:szCs w:val="24"/>
              </w:rPr>
              <w:br/>
              <w:t>89502, Закарпатська обл., місто Чоп, ВУЛИЦЯ ГОЛОВНА, будинок 43</w:t>
            </w:r>
          </w:p>
        </w:tc>
      </w:tr>
      <w:tr w:rsidR="003C3656">
        <w:trPr>
          <w:trHeight w:val="840"/>
        </w:trPr>
        <w:tc>
          <w:tcPr>
            <w:tcW w:w="3828" w:type="dxa"/>
            <w:tcBorders>
              <w:top w:val="single" w:sz="6" w:space="0" w:color="000000"/>
              <w:left w:val="single" w:sz="6" w:space="0" w:color="000000"/>
              <w:bottom w:val="single" w:sz="6" w:space="0" w:color="000000"/>
              <w:right w:val="single" w:sz="6" w:space="0" w:color="000000"/>
            </w:tcBorders>
            <w:vAlign w:val="center"/>
          </w:tcPr>
          <w:p w:rsidR="003C3656" w:rsidRDefault="00AD1FDA">
            <w:pPr>
              <w:spacing w:line="259" w:lineRule="auto"/>
              <w:ind w:left="108" w:right="0" w:firstLine="34"/>
              <w:jc w:val="left"/>
            </w:pPr>
            <w:r>
              <w:rPr>
                <w:sz w:val="24"/>
                <w:szCs w:val="24"/>
              </w:rPr>
              <w:t>Місце проведення державної реєстрації</w:t>
            </w:r>
          </w:p>
        </w:tc>
        <w:tc>
          <w:tcPr>
            <w:tcW w:w="5530" w:type="dxa"/>
            <w:tcBorders>
              <w:top w:val="single" w:sz="6" w:space="0" w:color="000000"/>
              <w:left w:val="single" w:sz="6" w:space="0" w:color="000000"/>
              <w:bottom w:val="single" w:sz="6" w:space="0" w:color="000000"/>
              <w:right w:val="single" w:sz="6" w:space="0" w:color="000000"/>
            </w:tcBorders>
            <w:vAlign w:val="center"/>
          </w:tcPr>
          <w:p w:rsidR="003C3656" w:rsidRDefault="00AD1FDA">
            <w:pPr>
              <w:jc w:val="left"/>
              <w:rPr>
                <w:color w:val="000000"/>
                <w:sz w:val="24"/>
                <w:szCs w:val="24"/>
              </w:rPr>
            </w:pPr>
            <w:r>
              <w:rPr>
                <w:color w:val="747474"/>
                <w:sz w:val="24"/>
                <w:szCs w:val="24"/>
              </w:rPr>
              <w:br/>
            </w:r>
            <w:r>
              <w:rPr>
                <w:color w:val="000000"/>
                <w:sz w:val="24"/>
                <w:szCs w:val="24"/>
              </w:rPr>
              <w:t>Ужгородська районна державна адміністрація Закарпатської області</w:t>
            </w:r>
          </w:p>
          <w:p w:rsidR="003C3656" w:rsidRDefault="003C3656">
            <w:pPr>
              <w:spacing w:line="259" w:lineRule="auto"/>
              <w:ind w:left="108" w:right="0" w:firstLine="0"/>
              <w:jc w:val="left"/>
              <w:rPr>
                <w:sz w:val="24"/>
                <w:szCs w:val="24"/>
              </w:rPr>
            </w:pPr>
          </w:p>
        </w:tc>
      </w:tr>
      <w:tr w:rsidR="003C3656">
        <w:trPr>
          <w:trHeight w:val="560"/>
        </w:trPr>
        <w:tc>
          <w:tcPr>
            <w:tcW w:w="3828" w:type="dxa"/>
            <w:tcBorders>
              <w:top w:val="single" w:sz="6" w:space="0" w:color="000000"/>
              <w:left w:val="single" w:sz="6" w:space="0" w:color="000000"/>
              <w:bottom w:val="single" w:sz="6" w:space="0" w:color="000000"/>
              <w:right w:val="single" w:sz="6" w:space="0" w:color="000000"/>
            </w:tcBorders>
          </w:tcPr>
          <w:p w:rsidR="003C3656" w:rsidRDefault="00AD1FDA">
            <w:pPr>
              <w:spacing w:line="259" w:lineRule="auto"/>
              <w:ind w:left="108" w:right="0" w:firstLine="34"/>
              <w:jc w:val="left"/>
            </w:pPr>
            <w:r>
              <w:rPr>
                <w:sz w:val="24"/>
                <w:szCs w:val="24"/>
              </w:rPr>
              <w:t xml:space="preserve">Дата проведення державної реєстрації </w:t>
            </w:r>
          </w:p>
        </w:tc>
        <w:tc>
          <w:tcPr>
            <w:tcW w:w="5530" w:type="dxa"/>
            <w:tcBorders>
              <w:top w:val="single" w:sz="6" w:space="0" w:color="000000"/>
              <w:left w:val="single" w:sz="6" w:space="0" w:color="000000"/>
              <w:bottom w:val="single" w:sz="6" w:space="0" w:color="000000"/>
              <w:right w:val="single" w:sz="6" w:space="0" w:color="000000"/>
            </w:tcBorders>
            <w:vAlign w:val="center"/>
          </w:tcPr>
          <w:p w:rsidR="003C3656" w:rsidRDefault="00AD1FDA">
            <w:pPr>
              <w:spacing w:line="259" w:lineRule="auto"/>
              <w:ind w:left="108" w:right="0" w:firstLine="0"/>
              <w:jc w:val="left"/>
              <w:rPr>
                <w:color w:val="000000"/>
                <w:sz w:val="24"/>
                <w:szCs w:val="24"/>
              </w:rPr>
            </w:pPr>
            <w:r>
              <w:rPr>
                <w:color w:val="000000"/>
                <w:sz w:val="24"/>
                <w:szCs w:val="24"/>
                <w:highlight w:val="white"/>
              </w:rPr>
              <w:t>22.03.2016</w:t>
            </w:r>
          </w:p>
        </w:tc>
      </w:tr>
      <w:tr w:rsidR="003C3656">
        <w:trPr>
          <w:trHeight w:val="560"/>
        </w:trPr>
        <w:tc>
          <w:tcPr>
            <w:tcW w:w="3828" w:type="dxa"/>
            <w:tcBorders>
              <w:top w:val="single" w:sz="6" w:space="0" w:color="000000"/>
              <w:left w:val="single" w:sz="6" w:space="0" w:color="000000"/>
              <w:bottom w:val="single" w:sz="6" w:space="0" w:color="000000"/>
              <w:right w:val="single" w:sz="6" w:space="0" w:color="000000"/>
            </w:tcBorders>
          </w:tcPr>
          <w:p w:rsidR="003C3656" w:rsidRDefault="00AD1FDA">
            <w:pPr>
              <w:spacing w:line="259" w:lineRule="auto"/>
              <w:ind w:left="108" w:right="0" w:firstLine="0"/>
            </w:pPr>
            <w:r>
              <w:rPr>
                <w:sz w:val="24"/>
                <w:szCs w:val="24"/>
              </w:rPr>
              <w:t>Дата внесення останніх змін до статуту (установчих документів)</w:t>
            </w:r>
          </w:p>
        </w:tc>
        <w:tc>
          <w:tcPr>
            <w:tcW w:w="5530" w:type="dxa"/>
            <w:tcBorders>
              <w:top w:val="single" w:sz="6" w:space="0" w:color="000000"/>
              <w:left w:val="single" w:sz="6" w:space="0" w:color="000000"/>
              <w:bottom w:val="single" w:sz="6" w:space="0" w:color="000000"/>
              <w:right w:val="single" w:sz="6" w:space="0" w:color="000000"/>
            </w:tcBorders>
            <w:vAlign w:val="center"/>
          </w:tcPr>
          <w:p w:rsidR="003C3656" w:rsidRDefault="00AD1FDA">
            <w:pPr>
              <w:spacing w:line="259" w:lineRule="auto"/>
              <w:ind w:left="108" w:right="0" w:firstLine="0"/>
              <w:jc w:val="left"/>
              <w:rPr>
                <w:color w:val="000000"/>
                <w:sz w:val="24"/>
                <w:szCs w:val="24"/>
              </w:rPr>
            </w:pPr>
            <w:r>
              <w:rPr>
                <w:color w:val="000000"/>
                <w:sz w:val="24"/>
                <w:szCs w:val="24"/>
                <w:highlight w:val="white"/>
              </w:rPr>
              <w:t>06.03.2019</w:t>
            </w:r>
          </w:p>
        </w:tc>
      </w:tr>
      <w:tr w:rsidR="003C3656">
        <w:trPr>
          <w:trHeight w:val="1640"/>
        </w:trPr>
        <w:tc>
          <w:tcPr>
            <w:tcW w:w="3828" w:type="dxa"/>
            <w:tcBorders>
              <w:top w:val="single" w:sz="6" w:space="0" w:color="000000"/>
              <w:left w:val="single" w:sz="6" w:space="0" w:color="000000"/>
              <w:bottom w:val="single" w:sz="6" w:space="0" w:color="000000"/>
              <w:right w:val="single" w:sz="6" w:space="0" w:color="000000"/>
            </w:tcBorders>
          </w:tcPr>
          <w:p w:rsidR="003C3656" w:rsidRDefault="00AD1FDA">
            <w:pPr>
              <w:spacing w:line="259" w:lineRule="auto"/>
              <w:ind w:left="108" w:right="0" w:firstLine="0"/>
              <w:jc w:val="left"/>
            </w:pPr>
            <w:r>
              <w:rPr>
                <w:sz w:val="24"/>
                <w:szCs w:val="24"/>
              </w:rPr>
              <w:t xml:space="preserve">Основні види діяльності </w:t>
            </w:r>
          </w:p>
        </w:tc>
        <w:tc>
          <w:tcPr>
            <w:tcW w:w="5530" w:type="dxa"/>
            <w:tcBorders>
              <w:top w:val="single" w:sz="6" w:space="0" w:color="000000"/>
              <w:left w:val="single" w:sz="6" w:space="0" w:color="000000"/>
              <w:bottom w:val="nil"/>
              <w:right w:val="single" w:sz="6" w:space="0" w:color="000000"/>
            </w:tcBorders>
          </w:tcPr>
          <w:p w:rsidR="003C3656" w:rsidRDefault="00AD1FDA">
            <w:pPr>
              <w:spacing w:line="259" w:lineRule="auto"/>
              <w:ind w:left="108" w:right="0" w:firstLine="0"/>
              <w:jc w:val="left"/>
              <w:rPr>
                <w:color w:val="000000"/>
                <w:sz w:val="24"/>
                <w:szCs w:val="24"/>
              </w:rPr>
            </w:pPr>
            <w:r>
              <w:rPr>
                <w:color w:val="000000"/>
                <w:sz w:val="24"/>
                <w:szCs w:val="24"/>
                <w:highlight w:val="white"/>
              </w:rPr>
              <w:t>Код КВЕД 81.29 Інші види діяльності із прибирання;</w:t>
            </w:r>
            <w:r>
              <w:rPr>
                <w:color w:val="000000"/>
                <w:sz w:val="24"/>
                <w:szCs w:val="24"/>
              </w:rPr>
              <w:br/>
            </w:r>
            <w:r>
              <w:rPr>
                <w:color w:val="000000"/>
                <w:sz w:val="24"/>
                <w:szCs w:val="24"/>
                <w:highlight w:val="white"/>
              </w:rPr>
              <w:t>Код КВЕД 38.11 Збирання безпечних відходів (основний);</w:t>
            </w:r>
            <w:r>
              <w:rPr>
                <w:color w:val="000000"/>
                <w:sz w:val="24"/>
                <w:szCs w:val="24"/>
              </w:rPr>
              <w:br/>
            </w:r>
            <w:r>
              <w:rPr>
                <w:color w:val="000000"/>
                <w:sz w:val="24"/>
                <w:szCs w:val="24"/>
                <w:highlight w:val="white"/>
              </w:rPr>
              <w:t>Код КВЕД 41.20 Будівництво житлових і нежитлових будівель</w:t>
            </w:r>
          </w:p>
        </w:tc>
      </w:tr>
      <w:tr w:rsidR="003C3656">
        <w:trPr>
          <w:trHeight w:val="1400"/>
        </w:trPr>
        <w:tc>
          <w:tcPr>
            <w:tcW w:w="3828" w:type="dxa"/>
            <w:tcBorders>
              <w:top w:val="single" w:sz="6" w:space="0" w:color="000000"/>
              <w:left w:val="single" w:sz="6" w:space="0" w:color="000000"/>
              <w:bottom w:val="single" w:sz="6" w:space="0" w:color="000000"/>
              <w:right w:val="single" w:sz="6" w:space="0" w:color="000000"/>
            </w:tcBorders>
          </w:tcPr>
          <w:p w:rsidR="003C3656" w:rsidRDefault="00AD1FDA">
            <w:pPr>
              <w:spacing w:line="259" w:lineRule="auto"/>
              <w:ind w:left="0" w:right="0" w:firstLine="0"/>
              <w:jc w:val="left"/>
            </w:pPr>
            <w:r>
              <w:rPr>
                <w:sz w:val="24"/>
                <w:szCs w:val="24"/>
              </w:rPr>
              <w:t xml:space="preserve">Керівник </w:t>
            </w:r>
          </w:p>
          <w:p w:rsidR="003C3656" w:rsidRDefault="00AD1FDA">
            <w:pPr>
              <w:spacing w:line="259" w:lineRule="auto"/>
              <w:ind w:left="0" w:right="0" w:firstLine="0"/>
              <w:jc w:val="left"/>
            </w:pPr>
            <w:r>
              <w:rPr>
                <w:sz w:val="24"/>
                <w:szCs w:val="24"/>
              </w:rPr>
              <w:t>Головний бухгалтер</w:t>
            </w:r>
          </w:p>
          <w:p w:rsidR="003C3656" w:rsidRDefault="003C3656">
            <w:pPr>
              <w:spacing w:line="259" w:lineRule="auto"/>
              <w:ind w:left="0" w:right="0" w:firstLine="0"/>
              <w:jc w:val="left"/>
            </w:pPr>
          </w:p>
          <w:p w:rsidR="003C3656" w:rsidRDefault="00AD1FDA">
            <w:pPr>
              <w:spacing w:line="259" w:lineRule="auto"/>
              <w:ind w:left="0" w:right="0" w:firstLine="0"/>
              <w:jc w:val="left"/>
            </w:pPr>
            <w:r>
              <w:rPr>
                <w:sz w:val="24"/>
                <w:szCs w:val="24"/>
              </w:rPr>
              <w:t>Середньорічна кількість працівників</w:t>
            </w:r>
          </w:p>
        </w:tc>
        <w:tc>
          <w:tcPr>
            <w:tcW w:w="5530" w:type="dxa"/>
            <w:tcBorders>
              <w:top w:val="single" w:sz="6" w:space="0" w:color="000000"/>
              <w:left w:val="single" w:sz="6" w:space="0" w:color="000000"/>
              <w:bottom w:val="single" w:sz="6" w:space="0" w:color="000000"/>
              <w:right w:val="single" w:sz="6" w:space="0" w:color="000000"/>
            </w:tcBorders>
          </w:tcPr>
          <w:p w:rsidR="003C3656" w:rsidRPr="006A4110" w:rsidRDefault="00AD1FDA">
            <w:pPr>
              <w:spacing w:line="259" w:lineRule="auto"/>
              <w:ind w:left="0" w:right="0" w:firstLine="0"/>
              <w:jc w:val="left"/>
              <w:rPr>
                <w:color w:val="000000" w:themeColor="text1"/>
                <w:sz w:val="24"/>
                <w:szCs w:val="24"/>
              </w:rPr>
            </w:pPr>
            <w:r w:rsidRPr="006A4110">
              <w:rPr>
                <w:color w:val="000000" w:themeColor="text1"/>
                <w:sz w:val="24"/>
                <w:szCs w:val="24"/>
                <w:highlight w:val="white"/>
              </w:rPr>
              <w:t>ПЕТРУШКО РОСТИСЛАВ ВОЛОДИМИРОВИЧ</w:t>
            </w:r>
            <w:r w:rsidRPr="006A4110">
              <w:rPr>
                <w:color w:val="000000" w:themeColor="text1"/>
                <w:sz w:val="24"/>
                <w:szCs w:val="24"/>
              </w:rPr>
              <w:t xml:space="preserve"> </w:t>
            </w:r>
          </w:p>
          <w:p w:rsidR="003C3656" w:rsidRPr="006A4110" w:rsidRDefault="00AD1FDA">
            <w:pPr>
              <w:spacing w:line="259" w:lineRule="auto"/>
              <w:ind w:left="0" w:right="0" w:firstLine="0"/>
              <w:jc w:val="left"/>
              <w:rPr>
                <w:color w:val="000000" w:themeColor="text1"/>
                <w:sz w:val="24"/>
                <w:szCs w:val="24"/>
              </w:rPr>
            </w:pPr>
            <w:r w:rsidRPr="006A4110">
              <w:rPr>
                <w:color w:val="000000" w:themeColor="text1"/>
                <w:sz w:val="24"/>
                <w:szCs w:val="24"/>
              </w:rPr>
              <w:t>______________</w:t>
            </w:r>
          </w:p>
          <w:p w:rsidR="003C3656" w:rsidRDefault="00AD1FDA">
            <w:pPr>
              <w:spacing w:line="259" w:lineRule="auto"/>
              <w:ind w:left="0" w:right="0" w:firstLine="0"/>
              <w:jc w:val="left"/>
              <w:rPr>
                <w:sz w:val="24"/>
                <w:szCs w:val="24"/>
              </w:rPr>
            </w:pPr>
            <w:r>
              <w:rPr>
                <w:sz w:val="24"/>
                <w:szCs w:val="24"/>
              </w:rPr>
              <w:t xml:space="preserve"> 31 чоловік</w:t>
            </w:r>
          </w:p>
        </w:tc>
      </w:tr>
    </w:tbl>
    <w:p w:rsidR="003C3656" w:rsidRDefault="003C3656">
      <w:pPr>
        <w:spacing w:after="0" w:line="259" w:lineRule="auto"/>
        <w:ind w:left="568" w:right="0" w:firstLine="0"/>
        <w:jc w:val="left"/>
      </w:pPr>
    </w:p>
    <w:p w:rsidR="003C3656" w:rsidRDefault="003C3656">
      <w:pPr>
        <w:ind w:left="-13" w:right="220"/>
      </w:pPr>
    </w:p>
    <w:p w:rsidR="003C3656" w:rsidRDefault="003C3656">
      <w:pPr>
        <w:ind w:left="-13" w:right="220"/>
      </w:pPr>
    </w:p>
    <w:p w:rsidR="003C3656" w:rsidRDefault="00AD1FDA">
      <w:pPr>
        <w:ind w:left="-13" w:right="220"/>
      </w:pPr>
      <w:r>
        <w:t xml:space="preserve">Повний пакет фінансової звітності підприємства, складений за Національними положеннями (стандартами) бухгалтерського обліку України, складається із: </w:t>
      </w:r>
    </w:p>
    <w:p w:rsidR="003C3656" w:rsidRDefault="00AD1FDA">
      <w:pPr>
        <w:numPr>
          <w:ilvl w:val="0"/>
          <w:numId w:val="2"/>
        </w:numPr>
        <w:ind w:right="220" w:hanging="360"/>
      </w:pPr>
      <w:r>
        <w:lastRenderedPageBreak/>
        <w:t xml:space="preserve">Фінансового Звіту суб’єкта малого підприємства Балансу станом на 31.12.2018 р.,  </w:t>
      </w:r>
    </w:p>
    <w:p w:rsidR="003C3656" w:rsidRDefault="00AD1FDA">
      <w:pPr>
        <w:numPr>
          <w:ilvl w:val="0"/>
          <w:numId w:val="2"/>
        </w:numPr>
        <w:ind w:right="220" w:hanging="360"/>
      </w:pPr>
      <w:r>
        <w:t xml:space="preserve">Звіту про фінансові результати за 2018 рік,  </w:t>
      </w:r>
    </w:p>
    <w:p w:rsidR="003C3656" w:rsidRDefault="003C3656">
      <w:pPr>
        <w:spacing w:after="0" w:line="259" w:lineRule="auto"/>
        <w:ind w:left="812" w:right="0" w:firstLine="0"/>
        <w:jc w:val="left"/>
      </w:pPr>
    </w:p>
    <w:p w:rsidR="003C3656" w:rsidRDefault="00AD1FDA">
      <w:pPr>
        <w:ind w:left="-13" w:right="220"/>
      </w:pPr>
      <w:r>
        <w:t xml:space="preserve">На нашу думку, за винятком можливого впливу питань, зазначених в розділі «Основа для думки із застереженнями», фінансова звітність підприємства, що додається, подає достовірно в усіх суттєвих аспектах фінансовий стан на 31 грудня 2018 року, фінансові результати за рік, що закінчився на вказану дату, відповідно до національних ПС(Б)О України та відповідає  вимогам Закону України "Про бухгалтерський облік та фінансову звітність в Україні" від 16.07.1999 р. N 996-XIV щодо складання фінансової звітності.   </w:t>
      </w:r>
    </w:p>
    <w:p w:rsidR="003C3656" w:rsidRDefault="003C3656">
      <w:pPr>
        <w:spacing w:after="0" w:line="259" w:lineRule="auto"/>
        <w:ind w:left="569" w:right="0" w:firstLine="0"/>
        <w:jc w:val="left"/>
      </w:pPr>
    </w:p>
    <w:p w:rsidR="003C3656" w:rsidRDefault="00AD1FDA">
      <w:pPr>
        <w:ind w:hanging="1"/>
        <w:rPr>
          <w:b/>
        </w:rPr>
      </w:pPr>
      <w:r>
        <w:rPr>
          <w:b/>
        </w:rPr>
        <w:t xml:space="preserve">ОСНОВА  ДЛЯ  ДУМКИ  ІЗ  ЗАСТЕРЕЖЕННЯМИ </w:t>
      </w:r>
    </w:p>
    <w:p w:rsidR="003C3656" w:rsidRDefault="003C3656">
      <w:pPr>
        <w:spacing w:after="0" w:line="259" w:lineRule="auto"/>
        <w:ind w:left="568" w:right="0" w:firstLine="0"/>
        <w:jc w:val="left"/>
      </w:pPr>
    </w:p>
    <w:p w:rsidR="003C3656" w:rsidRDefault="00AD1FDA">
      <w:pPr>
        <w:pStyle w:val="3"/>
        <w:numPr>
          <w:ilvl w:val="0"/>
          <w:numId w:val="1"/>
        </w:numPr>
        <w:ind w:right="218" w:hanging="360"/>
      </w:pPr>
      <w:r>
        <w:t>Основні засоби</w:t>
      </w:r>
    </w:p>
    <w:p w:rsidR="003C3656" w:rsidRDefault="003C3656">
      <w:pPr>
        <w:ind w:left="-13" w:right="220"/>
        <w:rPr>
          <w:highlight w:val="yellow"/>
        </w:rPr>
      </w:pPr>
    </w:p>
    <w:p w:rsidR="003C3656" w:rsidRDefault="00AD1FDA">
      <w:pPr>
        <w:keepNext/>
        <w:keepLines/>
        <w:rPr>
          <w:color w:val="000000"/>
        </w:rPr>
      </w:pPr>
      <w:r>
        <w:rPr>
          <w:color w:val="000000"/>
        </w:rPr>
        <w:t xml:space="preserve">Класифікація основних засобів у бухгалтерському обліку здійснювалась  на підставі п 5 П(С)БО 7. Одиницею обліку основних засобів й інших необоротних матеріальних активів (МНМА) уважається  окремий інвентарний об'єкт. Групування основних засобів і МНМА в аналітичному обліку проводиться згідно з вимогами Інструкції № 291. </w:t>
      </w:r>
      <w:r w:rsidRPr="006A4110">
        <w:rPr>
          <w:color w:val="000000" w:themeColor="text1"/>
        </w:rPr>
        <w:t>У п. 5.2 </w:t>
      </w:r>
      <w:hyperlink r:id="rId9">
        <w:r w:rsidRPr="006A4110">
          <w:rPr>
            <w:color w:val="000000" w:themeColor="text1"/>
            <w:u w:val="single"/>
          </w:rPr>
          <w:t>П(С)БО 7</w:t>
        </w:r>
      </w:hyperlink>
      <w:r w:rsidRPr="006A4110">
        <w:rPr>
          <w:color w:val="000000" w:themeColor="text1"/>
        </w:rPr>
        <w:t> зазначено: підприємства можуть самостійно встановлювати вартісні ознаки предметів, що входять до складу малоцінних необоротних матеріальних активів (далі — МНМА).  </w:t>
      </w:r>
      <w:r>
        <w:rPr>
          <w:color w:val="000000"/>
        </w:rPr>
        <w:t xml:space="preserve">І всі активи, вартість яких нижче цього критерію та які використовуються довше одного року, у обліку потрапляють до лав МНМА. Своєю чергою, ті активи, які використовуються більш ніж рік і вартість яких </w:t>
      </w:r>
      <w:r w:rsidR="006A4110">
        <w:rPr>
          <w:color w:val="000000"/>
        </w:rPr>
        <w:t>вище критерію малоцінності, у бу</w:t>
      </w:r>
      <w:r w:rsidR="006A4110" w:rsidRPr="006A4110">
        <w:rPr>
          <w:color w:val="000000"/>
        </w:rPr>
        <w:t>х</w:t>
      </w:r>
      <w:r w:rsidR="006A4110">
        <w:rPr>
          <w:color w:val="000000"/>
        </w:rPr>
        <w:t xml:space="preserve">галтерському </w:t>
      </w:r>
      <w:r>
        <w:rPr>
          <w:color w:val="000000"/>
        </w:rPr>
        <w:t xml:space="preserve">обліку визнаються </w:t>
      </w:r>
      <w:r w:rsidR="006A4110">
        <w:rPr>
          <w:color w:val="000000"/>
        </w:rPr>
        <w:t>основні засоби. Т</w:t>
      </w:r>
      <w:r>
        <w:rPr>
          <w:color w:val="000000"/>
        </w:rPr>
        <w:t>аку вартісну планку для цілей бух</w:t>
      </w:r>
      <w:r w:rsidR="006A4110">
        <w:rPr>
          <w:color w:val="000000"/>
        </w:rPr>
        <w:t xml:space="preserve">галтерського </w:t>
      </w:r>
      <w:r>
        <w:rPr>
          <w:color w:val="000000"/>
        </w:rPr>
        <w:t xml:space="preserve">обліку підприємство встановлює у наказі про облікову політику. Так в наказі </w:t>
      </w:r>
      <w:bookmarkStart w:id="1" w:name="30j0zll" w:colFirst="0" w:colLast="0"/>
      <w:bookmarkEnd w:id="1"/>
      <w:r>
        <w:rPr>
          <w:color w:val="000000"/>
        </w:rPr>
        <w:t xml:space="preserve">«Про організацію бухгалтерського обліку та облікову політику на 2018 рік»  </w:t>
      </w:r>
      <w:r>
        <w:t>комунального підприємства Чопської міської ради " Чистий Чоп" зазначено: «</w:t>
      </w:r>
      <w:r>
        <w:rPr>
          <w:color w:val="000000"/>
        </w:rPr>
        <w:t>Уважати матеріальні активи зі строком корисного використання (експлуатації) більше ніж рік або операційний цикл, первісною вартістю, меншою ніж 6000,00 грн, малоцінними необоротними</w:t>
      </w:r>
      <w:r>
        <w:t xml:space="preserve"> </w:t>
      </w:r>
      <w:r>
        <w:rPr>
          <w:color w:val="000000"/>
        </w:rPr>
        <w:t xml:space="preserve">активами (далі — МНМА)». В бухгалтерському обліку підприємства має місце недотримання вартісного критерію щодо визнання малоцінності, що призвело до незначного викривлення в межах </w:t>
      </w:r>
      <w:r w:rsidR="006A4110">
        <w:rPr>
          <w:color w:val="000000"/>
        </w:rPr>
        <w:t>статей</w:t>
      </w:r>
      <w:r>
        <w:rPr>
          <w:color w:val="000000"/>
        </w:rPr>
        <w:t xml:space="preserve"> необоротних активів.</w:t>
      </w:r>
    </w:p>
    <w:p w:rsidR="003C3656" w:rsidRDefault="003C3656">
      <w:pPr>
        <w:keepNext/>
        <w:keepLines/>
        <w:rPr>
          <w:color w:val="000000"/>
        </w:rPr>
      </w:pPr>
    </w:p>
    <w:p w:rsidR="003C3656" w:rsidRDefault="003C3656">
      <w:pPr>
        <w:spacing w:after="0" w:line="259" w:lineRule="auto"/>
        <w:ind w:left="721" w:right="0" w:firstLine="0"/>
        <w:jc w:val="left"/>
        <w:rPr>
          <w:color w:val="FF0000"/>
        </w:rPr>
      </w:pPr>
    </w:p>
    <w:p w:rsidR="003C3656" w:rsidRDefault="00AD1FDA">
      <w:pPr>
        <w:pStyle w:val="3"/>
        <w:ind w:left="439" w:right="218"/>
      </w:pPr>
      <w:r>
        <w:t>2. Зобов’язання</w:t>
      </w:r>
    </w:p>
    <w:p w:rsidR="003C3656" w:rsidRDefault="003C3656">
      <w:pPr>
        <w:ind w:left="-13" w:right="220"/>
      </w:pPr>
    </w:p>
    <w:p w:rsidR="003C3656" w:rsidRDefault="00AD1FDA">
      <w:pPr>
        <w:ind w:left="-13" w:right="220"/>
      </w:pPr>
      <w:r>
        <w:t xml:space="preserve">Методологічні засади формування в бухгалтерському обліку інформації про зобов'язання та її розкриття у фінансовій звітності визначені П(С)БО 11 «Зобов'язання». </w:t>
      </w:r>
    </w:p>
    <w:p w:rsidR="003C3656" w:rsidRDefault="00AD1FDA">
      <w:pPr>
        <w:ind w:left="-13" w:right="220"/>
      </w:pPr>
      <w:r>
        <w:t xml:space="preserve">Зобов'язання – це заборгованість підприємства, яка виникла внаслідок минулих подій і погашення якої, як очікується, призведе до зменшення ресурсів підприємства, що втілюють економічні вигоди. Зобов'язання визнається, якщо його оцінка може </w:t>
      </w:r>
      <w:r>
        <w:lastRenderedPageBreak/>
        <w:t>бути достовірно визначена та існує ймовірність зменшення економічних вигід у майбутньому внаслідок його погашення. Погашення зобов'язання може здійснюватися шляхом сплати грошима, відвантаження готової продукції, товарів, виконання робіт, надання послуг тощо.</w:t>
      </w:r>
    </w:p>
    <w:p w:rsidR="003C3656" w:rsidRDefault="00AD1FDA">
      <w:pPr>
        <w:ind w:left="-13" w:right="220"/>
      </w:pPr>
      <w:r>
        <w:t xml:space="preserve">Відповідно до норм Закону «Про бухгалтерський облік та фінансову звітність в Україні», П(С)БО 11 «Зобов’язання» та  керуючись </w:t>
      </w:r>
      <w:hyperlink r:id="rId10">
        <w:r>
          <w:rPr>
            <w:color w:val="000000"/>
          </w:rPr>
          <w:t>Інструкцій з бухгалтерському обліку податку на додану вартість, затверджена наказом Мінфіну від 01.07.97 р. № 141</w:t>
        </w:r>
      </w:hyperlink>
      <w:r>
        <w:t xml:space="preserve"> кожне підприємство – платник ПДВ зобов’язано вести бухгалтерський облік кредиторської та дебіторської заборгованості за розрахунками з бюджетом. Узагальнену інформацію щодо сальдо боргу відображують у Балансі (Звіті про фінансовий стан) у загально прийнятому порядку. В порушення вище приведених нормативних актів на підприємстві відсутній аналітичний облік по бухгалтерському рахунку </w:t>
      </w:r>
      <w:r>
        <w:rPr>
          <w:highlight w:val="white"/>
        </w:rPr>
        <w:t xml:space="preserve">«Податкові зобов’язання» та не </w:t>
      </w:r>
      <w:r w:rsidR="006A4110">
        <w:rPr>
          <w:highlight w:val="white"/>
        </w:rPr>
        <w:t>ведеться</w:t>
      </w:r>
      <w:r>
        <w:rPr>
          <w:highlight w:val="white"/>
        </w:rPr>
        <w:t xml:space="preserve"> облік </w:t>
      </w:r>
      <w:proofErr w:type="spellStart"/>
      <w:r>
        <w:rPr>
          <w:highlight w:val="white"/>
        </w:rPr>
        <w:t>cуми</w:t>
      </w:r>
      <w:proofErr w:type="spellEnd"/>
      <w:r>
        <w:rPr>
          <w:highlight w:val="white"/>
        </w:rPr>
        <w:t xml:space="preserve"> податку на додану вартість, </w:t>
      </w:r>
      <w:proofErr w:type="spellStart"/>
      <w:r>
        <w:rPr>
          <w:highlight w:val="white"/>
        </w:rPr>
        <w:t>визнaчену</w:t>
      </w:r>
      <w:proofErr w:type="spellEnd"/>
      <w:r>
        <w:rPr>
          <w:highlight w:val="white"/>
        </w:rPr>
        <w:t xml:space="preserve">, виходячи із </w:t>
      </w:r>
      <w:proofErr w:type="spellStart"/>
      <w:r>
        <w:rPr>
          <w:highlight w:val="white"/>
        </w:rPr>
        <w:t>cуми</w:t>
      </w:r>
      <w:proofErr w:type="spellEnd"/>
      <w:r>
        <w:rPr>
          <w:highlight w:val="white"/>
        </w:rPr>
        <w:t xml:space="preserve"> одержаних авансів (попередньої оплати) </w:t>
      </w:r>
      <w:proofErr w:type="spellStart"/>
      <w:r>
        <w:rPr>
          <w:highlight w:val="white"/>
        </w:rPr>
        <w:t>зa</w:t>
      </w:r>
      <w:proofErr w:type="spellEnd"/>
      <w:r>
        <w:rPr>
          <w:highlight w:val="white"/>
        </w:rPr>
        <w:t xml:space="preserve"> послуги,  </w:t>
      </w:r>
      <w:proofErr w:type="spellStart"/>
      <w:r>
        <w:rPr>
          <w:highlight w:val="white"/>
        </w:rPr>
        <w:t>щo</w:t>
      </w:r>
      <w:proofErr w:type="spellEnd"/>
      <w:r>
        <w:rPr>
          <w:highlight w:val="white"/>
        </w:rPr>
        <w:t xml:space="preserve"> підлягають відвантаженню (виконанню).</w:t>
      </w:r>
    </w:p>
    <w:p w:rsidR="003C3656" w:rsidRDefault="003C3656">
      <w:pPr>
        <w:ind w:left="-13" w:right="220"/>
      </w:pPr>
    </w:p>
    <w:p w:rsidR="003C3656" w:rsidRDefault="003C3656">
      <w:pPr>
        <w:ind w:left="-13" w:right="220"/>
      </w:pPr>
    </w:p>
    <w:p w:rsidR="003C3656" w:rsidRDefault="003C3656">
      <w:pPr>
        <w:ind w:left="-13" w:right="220" w:firstLine="427"/>
        <w:rPr>
          <w:highlight w:val="yellow"/>
        </w:rPr>
      </w:pPr>
    </w:p>
    <w:p w:rsidR="003C3656" w:rsidRDefault="00AD1FDA">
      <w:pPr>
        <w:ind w:left="-13" w:right="220" w:firstLine="427"/>
      </w:pPr>
      <w:r>
        <w:t>Ми провели аудит відповідно до Міжнародних стандартів контролю якості, аудиту, огляду, іншого надання впевненості та супутніх послуг, виданих Радою з Міжнародних стандартів аудиту та надання впевненості (РМСАНВ), видання 2016-2017 років (надалі - МСА) та Закону України «Про аудит фінансової звітності та аудиторську діяльність».</w:t>
      </w:r>
    </w:p>
    <w:p w:rsidR="003C3656" w:rsidRDefault="00AD1FDA">
      <w:pPr>
        <w:ind w:left="-13" w:right="220"/>
      </w:pPr>
      <w:r>
        <w:t>Наша відповідальність відповідно до цих стандартів додатково викладена в розділі «</w:t>
      </w:r>
      <w:r>
        <w:rPr>
          <w:i/>
        </w:rPr>
        <w:t>Відповідальність аудитора за аудит фінансової звітності</w:t>
      </w:r>
      <w:r>
        <w:t xml:space="preserve">» нашого звіту.   </w:t>
      </w:r>
    </w:p>
    <w:p w:rsidR="003C3656" w:rsidRDefault="00AD1FDA">
      <w:pPr>
        <w:ind w:left="-13" w:right="220"/>
      </w:pPr>
      <w:r>
        <w:t>Ми вважаємо, що отримані нами аудиторські докази є достатніми і прийнятними для використання їх як основи для нашої думки із застереженням.</w:t>
      </w:r>
    </w:p>
    <w:p w:rsidR="003C3656" w:rsidRDefault="003C3656">
      <w:pPr>
        <w:ind w:left="-13" w:right="220"/>
      </w:pPr>
    </w:p>
    <w:p w:rsidR="003C3656" w:rsidRDefault="003C3656">
      <w:pPr>
        <w:spacing w:after="0" w:line="259" w:lineRule="auto"/>
        <w:ind w:left="789" w:right="0" w:firstLine="0"/>
        <w:jc w:val="left"/>
      </w:pPr>
    </w:p>
    <w:p w:rsidR="003C3656" w:rsidRDefault="00AD1FDA">
      <w:pPr>
        <w:spacing w:after="0" w:line="259" w:lineRule="auto"/>
        <w:ind w:right="0" w:firstLine="0"/>
        <w:jc w:val="left"/>
      </w:pPr>
      <w:r>
        <w:t xml:space="preserve"> </w:t>
      </w:r>
    </w:p>
    <w:p w:rsidR="003C3656" w:rsidRDefault="00AD1FDA">
      <w:pPr>
        <w:spacing w:after="0" w:line="259" w:lineRule="auto"/>
        <w:ind w:right="0" w:firstLine="0"/>
        <w:jc w:val="left"/>
        <w:rPr>
          <w:b/>
        </w:rPr>
      </w:pPr>
      <w:r>
        <w:rPr>
          <w:b/>
        </w:rPr>
        <w:t>НЕЗАЛЕЖНІСТЬ</w:t>
      </w:r>
    </w:p>
    <w:p w:rsidR="003C3656" w:rsidRDefault="003C3656">
      <w:pPr>
        <w:spacing w:after="0" w:line="259" w:lineRule="auto"/>
        <w:ind w:left="568" w:right="0" w:firstLine="0"/>
        <w:jc w:val="left"/>
      </w:pPr>
    </w:p>
    <w:p w:rsidR="003C3656" w:rsidRDefault="00AD1FDA">
      <w:pPr>
        <w:ind w:left="-13" w:right="220"/>
      </w:pPr>
      <w:r>
        <w:t xml:space="preserve">Ми є незалежними по відношенню до підприємства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 </w:t>
      </w:r>
    </w:p>
    <w:p w:rsidR="003C3656" w:rsidRDefault="003C3656">
      <w:pPr>
        <w:spacing w:after="0" w:line="259" w:lineRule="auto"/>
        <w:ind w:left="568" w:right="0" w:firstLine="0"/>
        <w:jc w:val="left"/>
      </w:pPr>
    </w:p>
    <w:p w:rsidR="006A4110" w:rsidRDefault="006A4110">
      <w:pPr>
        <w:spacing w:after="0" w:line="259" w:lineRule="auto"/>
        <w:ind w:left="568" w:right="0" w:hanging="568"/>
        <w:jc w:val="left"/>
        <w:rPr>
          <w:b/>
        </w:rPr>
      </w:pPr>
    </w:p>
    <w:p w:rsidR="006A4110" w:rsidRDefault="006A4110">
      <w:pPr>
        <w:spacing w:after="0" w:line="259" w:lineRule="auto"/>
        <w:ind w:left="568" w:right="0" w:hanging="568"/>
        <w:jc w:val="left"/>
        <w:rPr>
          <w:b/>
        </w:rPr>
      </w:pPr>
    </w:p>
    <w:p w:rsidR="006A4110" w:rsidRDefault="006A4110">
      <w:pPr>
        <w:spacing w:after="0" w:line="259" w:lineRule="auto"/>
        <w:ind w:left="568" w:right="0" w:hanging="568"/>
        <w:jc w:val="left"/>
        <w:rPr>
          <w:b/>
        </w:rPr>
      </w:pPr>
    </w:p>
    <w:p w:rsidR="006A4110" w:rsidRDefault="006A4110">
      <w:pPr>
        <w:spacing w:after="0" w:line="259" w:lineRule="auto"/>
        <w:ind w:left="568" w:right="0" w:hanging="568"/>
        <w:jc w:val="left"/>
        <w:rPr>
          <w:b/>
        </w:rPr>
      </w:pPr>
    </w:p>
    <w:p w:rsidR="005F2F91" w:rsidRDefault="005F2F91">
      <w:pPr>
        <w:spacing w:after="0" w:line="259" w:lineRule="auto"/>
        <w:ind w:left="568" w:right="0" w:hanging="568"/>
        <w:jc w:val="left"/>
        <w:rPr>
          <w:b/>
        </w:rPr>
      </w:pPr>
    </w:p>
    <w:p w:rsidR="005F2F91" w:rsidRDefault="005F2F91">
      <w:pPr>
        <w:spacing w:after="0" w:line="259" w:lineRule="auto"/>
        <w:ind w:left="568" w:right="0" w:hanging="568"/>
        <w:jc w:val="left"/>
        <w:rPr>
          <w:b/>
        </w:rPr>
      </w:pPr>
    </w:p>
    <w:p w:rsidR="005F2F91" w:rsidRDefault="005F2F91">
      <w:pPr>
        <w:spacing w:after="0" w:line="259" w:lineRule="auto"/>
        <w:ind w:left="568" w:right="0" w:hanging="568"/>
        <w:jc w:val="left"/>
        <w:rPr>
          <w:b/>
        </w:rPr>
      </w:pPr>
    </w:p>
    <w:p w:rsidR="003C3656" w:rsidRDefault="00AD1FDA">
      <w:pPr>
        <w:spacing w:after="0" w:line="259" w:lineRule="auto"/>
        <w:ind w:left="568" w:right="0" w:hanging="568"/>
        <w:jc w:val="left"/>
        <w:rPr>
          <w:b/>
        </w:rPr>
      </w:pPr>
      <w:r>
        <w:rPr>
          <w:b/>
        </w:rPr>
        <w:lastRenderedPageBreak/>
        <w:t>ПОЯСНЮВАЛЬНИЙ ПАРАГРАФ</w:t>
      </w:r>
    </w:p>
    <w:p w:rsidR="003C3656" w:rsidRDefault="003C3656">
      <w:pPr>
        <w:spacing w:after="0" w:line="259" w:lineRule="auto"/>
        <w:ind w:right="0" w:firstLine="0"/>
        <w:jc w:val="left"/>
      </w:pPr>
    </w:p>
    <w:p w:rsidR="003C3656" w:rsidRDefault="00AD1FDA">
      <w:pPr>
        <w:pStyle w:val="3"/>
        <w:ind w:right="218"/>
      </w:pPr>
      <w:r>
        <w:t xml:space="preserve">Політична та економічна ситуація в Україні </w:t>
      </w:r>
    </w:p>
    <w:p w:rsidR="003C3656" w:rsidRDefault="00AD1FDA">
      <w:pPr>
        <w:ind w:left="-13" w:right="220"/>
      </w:pPr>
      <w:r>
        <w:t xml:space="preserve">Ми звертаємо увагу що свою діяльність підприємство здійснює в Україні. Наслідками політичної та економічної кризи в Україні є такі явища як нестабільність податкового та господарського законодавства, зниження платоспроможності боржників. Остаточний влив і наслідки політичної та економічної кризи передбачити вкрай складно, проте вони можуть мати подальший негативний вплив на економіку України та бізнес підприємства.  </w:t>
      </w:r>
    </w:p>
    <w:p w:rsidR="003C3656" w:rsidRDefault="00AD1FDA">
      <w:pPr>
        <w:ind w:left="-13" w:right="220"/>
      </w:pPr>
      <w:r>
        <w:t xml:space="preserve">Уряд України продовжує здійснювати комплексну програму структурної реформи, спрямованої на усунення існуючих диспропорцій в економіці, державних фінансах та управлінні, боротьбі з корупцією, реформування судової системи з кінцевою метою забезпечити умови для відновлення економіки в країні. </w:t>
      </w:r>
    </w:p>
    <w:p w:rsidR="003C3656" w:rsidRDefault="00AD1FDA">
      <w:pPr>
        <w:spacing w:after="50"/>
        <w:ind w:left="-13" w:right="220"/>
      </w:pPr>
      <w:r>
        <w:t xml:space="preserve">При складанні цієї фінансової звітності враховувалися всі відомі фактори, вплив яких на фінансовий стан і результати діяльності підприємства можливо оцінити. </w:t>
      </w:r>
    </w:p>
    <w:p w:rsidR="003C3656" w:rsidRDefault="00AD1FDA">
      <w:pPr>
        <w:spacing w:after="47"/>
        <w:ind w:left="-13" w:right="220"/>
      </w:pPr>
      <w:r>
        <w:t xml:space="preserve">Керівництво стежить за станом розвитку поточної ситуації і вживає заходів, за необхідності, для мінімізації будь-яких негативних наслідків наскільки це можливо. Подальший негативний розвиток подій, у політичній ситуації, макроекономічних умовах та умовах зовнішньої торгівлі може і далі негативно впливати  на діяльність підприємства у такий спосіб, що наразі не може бути визначений. Керівництво вважає, що їм здійснюються всі заходи, необхідні для підтримки стабільної діяльності та розвитку підприємства. </w:t>
      </w:r>
    </w:p>
    <w:p w:rsidR="003C3656" w:rsidRDefault="00AD1FDA">
      <w:pPr>
        <w:ind w:left="-13" w:right="220"/>
      </w:pPr>
      <w:r>
        <w:t xml:space="preserve">Дана фінансова звітність не включає ніяких коригувань, які можуть мати місце в результаті такої невизначеності. Про необхідність таких корегувань буде повідомлено, якщо вони стануть відомі і зможуть бути оцінені. </w:t>
      </w:r>
    </w:p>
    <w:p w:rsidR="003C3656" w:rsidRDefault="00AD1FDA">
      <w:pPr>
        <w:ind w:left="568" w:right="220" w:firstLine="0"/>
      </w:pPr>
      <w:r>
        <w:t xml:space="preserve">Висловлюючи нашу думку ми не  враховували ці питання. </w:t>
      </w:r>
    </w:p>
    <w:p w:rsidR="003C3656" w:rsidRDefault="003C3656">
      <w:pPr>
        <w:ind w:left="568" w:right="220" w:firstLine="0"/>
      </w:pPr>
    </w:p>
    <w:p w:rsidR="003C3656" w:rsidRDefault="00AD1FDA">
      <w:pPr>
        <w:ind w:left="0" w:right="220" w:firstLine="142"/>
        <w:rPr>
          <w:b/>
        </w:rPr>
      </w:pPr>
      <w:r>
        <w:rPr>
          <w:b/>
        </w:rPr>
        <w:t>КЛЮЧОВІ ПИТАННЯ АУДИТУ</w:t>
      </w:r>
    </w:p>
    <w:p w:rsidR="003C3656" w:rsidRDefault="003C3656">
      <w:pPr>
        <w:spacing w:after="0" w:line="259" w:lineRule="auto"/>
        <w:ind w:left="568" w:right="0" w:firstLine="0"/>
        <w:jc w:val="left"/>
      </w:pPr>
    </w:p>
    <w:p w:rsidR="003C3656" w:rsidRDefault="00AD1FDA">
      <w:pPr>
        <w:ind w:left="-13" w:right="220"/>
      </w:pPr>
      <w:r>
        <w:t xml:space="preserve">Ключові питання аудиту – це питання, які, на наше професійне судження, були найбільш значущими під час нашого аудиту фінансової звітності за поточний період. Ці питання розглядались у контексті нашого аудиту фінансової звітності в цілому та враховувались при формуванні думки щодо неї, при цьому ми не висловлюємо окремої думки щодо цих питань.  </w:t>
      </w:r>
    </w:p>
    <w:p w:rsidR="003C3656" w:rsidRDefault="00AD1FDA">
      <w:pPr>
        <w:ind w:left="-13" w:right="220"/>
      </w:pPr>
      <w:r>
        <w:t xml:space="preserve">Крім питань, викладених у розділі «Основа для думки із застереженнями», ми визначили наступне ключове питання аудиту, інформацію щодо якого надаємо в нашому звіті. </w:t>
      </w:r>
    </w:p>
    <w:p w:rsidR="003C3656" w:rsidRDefault="003C3656">
      <w:pPr>
        <w:ind w:left="-13" w:right="220"/>
      </w:pPr>
    </w:p>
    <w:p w:rsidR="003C3656" w:rsidRDefault="003C3656">
      <w:pPr>
        <w:ind w:left="-13" w:right="220"/>
      </w:pPr>
    </w:p>
    <w:p w:rsidR="003C3656" w:rsidRDefault="003C3656">
      <w:pPr>
        <w:ind w:left="-13" w:right="220"/>
      </w:pPr>
    </w:p>
    <w:p w:rsidR="003C3656" w:rsidRDefault="003C3656">
      <w:pPr>
        <w:ind w:left="-13" w:right="220"/>
      </w:pPr>
    </w:p>
    <w:p w:rsidR="003C3656" w:rsidRDefault="003C3656">
      <w:pPr>
        <w:ind w:left="-13" w:right="220"/>
      </w:pPr>
    </w:p>
    <w:p w:rsidR="005F2F91" w:rsidRDefault="005F2F91">
      <w:pPr>
        <w:ind w:left="-13" w:right="220"/>
      </w:pPr>
    </w:p>
    <w:p w:rsidR="003C3656" w:rsidRDefault="003C3656">
      <w:pPr>
        <w:ind w:left="-13" w:right="220"/>
      </w:pPr>
    </w:p>
    <w:tbl>
      <w:tblPr>
        <w:tblStyle w:val="a6"/>
        <w:tblW w:w="9240" w:type="dxa"/>
        <w:tblInd w:w="3" w:type="dxa"/>
        <w:tblLayout w:type="fixed"/>
        <w:tblLook w:val="0400" w:firstRow="0" w:lastRow="0" w:firstColumn="0" w:lastColumn="0" w:noHBand="0" w:noVBand="1"/>
      </w:tblPr>
      <w:tblGrid>
        <w:gridCol w:w="594"/>
        <w:gridCol w:w="3970"/>
        <w:gridCol w:w="4676"/>
      </w:tblGrid>
      <w:tr w:rsidR="003C3656">
        <w:trPr>
          <w:trHeight w:val="500"/>
        </w:trPr>
        <w:tc>
          <w:tcPr>
            <w:tcW w:w="594" w:type="dxa"/>
            <w:tcBorders>
              <w:top w:val="single" w:sz="4" w:space="0" w:color="000000"/>
              <w:left w:val="single" w:sz="4" w:space="0" w:color="000000"/>
              <w:bottom w:val="single" w:sz="4" w:space="0" w:color="000000"/>
              <w:right w:val="single" w:sz="4" w:space="0" w:color="000000"/>
            </w:tcBorders>
            <w:shd w:val="clear" w:color="auto" w:fill="FFE599"/>
          </w:tcPr>
          <w:p w:rsidR="003C3656" w:rsidRDefault="00AD1FDA">
            <w:pPr>
              <w:spacing w:line="259" w:lineRule="auto"/>
              <w:ind w:left="89" w:right="0" w:firstLine="0"/>
              <w:jc w:val="left"/>
              <w:rPr>
                <w:b/>
                <w:color w:val="000000"/>
              </w:rPr>
            </w:pPr>
            <w:r>
              <w:rPr>
                <w:b/>
                <w:color w:val="000000"/>
                <w:sz w:val="22"/>
                <w:szCs w:val="22"/>
              </w:rPr>
              <w:lastRenderedPageBreak/>
              <w:t xml:space="preserve">№ </w:t>
            </w:r>
          </w:p>
          <w:p w:rsidR="003C3656" w:rsidRDefault="00AD1FDA">
            <w:pPr>
              <w:spacing w:line="259" w:lineRule="auto"/>
              <w:ind w:left="55" w:right="0" w:firstLine="0"/>
              <w:jc w:val="left"/>
              <w:rPr>
                <w:b/>
                <w:color w:val="000000"/>
              </w:rPr>
            </w:pPr>
            <w:r>
              <w:rPr>
                <w:b/>
                <w:color w:val="000000"/>
                <w:sz w:val="22"/>
                <w:szCs w:val="22"/>
              </w:rPr>
              <w:t xml:space="preserve">з/п </w:t>
            </w:r>
          </w:p>
        </w:tc>
        <w:tc>
          <w:tcPr>
            <w:tcW w:w="3970" w:type="dxa"/>
            <w:tcBorders>
              <w:top w:val="single" w:sz="4" w:space="0" w:color="000000"/>
              <w:left w:val="single" w:sz="4" w:space="0" w:color="000000"/>
              <w:bottom w:val="single" w:sz="4" w:space="0" w:color="000000"/>
              <w:right w:val="single" w:sz="4" w:space="0" w:color="000000"/>
            </w:tcBorders>
            <w:shd w:val="clear" w:color="auto" w:fill="FFE599"/>
          </w:tcPr>
          <w:p w:rsidR="003C3656" w:rsidRDefault="00AD1FDA">
            <w:pPr>
              <w:spacing w:line="259" w:lineRule="auto"/>
              <w:ind w:left="0" w:right="59" w:firstLine="0"/>
              <w:jc w:val="center"/>
              <w:rPr>
                <w:b/>
                <w:color w:val="000000"/>
              </w:rPr>
            </w:pPr>
            <w:r>
              <w:rPr>
                <w:b/>
                <w:color w:val="000000"/>
                <w:sz w:val="22"/>
                <w:szCs w:val="22"/>
              </w:rPr>
              <w:t xml:space="preserve">Ключове питання аудиту </w:t>
            </w:r>
          </w:p>
        </w:tc>
        <w:tc>
          <w:tcPr>
            <w:tcW w:w="4676" w:type="dxa"/>
            <w:tcBorders>
              <w:top w:val="single" w:sz="4" w:space="0" w:color="000000"/>
              <w:left w:val="single" w:sz="4" w:space="0" w:color="000000"/>
              <w:bottom w:val="single" w:sz="4" w:space="0" w:color="000000"/>
              <w:right w:val="single" w:sz="4" w:space="0" w:color="000000"/>
            </w:tcBorders>
            <w:shd w:val="clear" w:color="auto" w:fill="FFE599"/>
          </w:tcPr>
          <w:p w:rsidR="003C3656" w:rsidRDefault="00AD1FDA">
            <w:pPr>
              <w:spacing w:line="259" w:lineRule="auto"/>
              <w:ind w:left="0" w:right="0" w:firstLine="0"/>
              <w:jc w:val="center"/>
              <w:rPr>
                <w:b/>
                <w:color w:val="000000"/>
              </w:rPr>
            </w:pPr>
            <w:r>
              <w:rPr>
                <w:b/>
                <w:color w:val="000000"/>
                <w:sz w:val="22"/>
                <w:szCs w:val="22"/>
              </w:rPr>
              <w:t xml:space="preserve">Аудиторські процедури стосовно ключового питання </w:t>
            </w:r>
          </w:p>
        </w:tc>
      </w:tr>
      <w:tr w:rsidR="003C3656">
        <w:trPr>
          <w:trHeight w:val="7080"/>
        </w:trPr>
        <w:tc>
          <w:tcPr>
            <w:tcW w:w="594" w:type="dxa"/>
            <w:tcBorders>
              <w:top w:val="single" w:sz="4" w:space="0" w:color="000000"/>
              <w:left w:val="single" w:sz="4" w:space="0" w:color="000000"/>
              <w:bottom w:val="single" w:sz="4" w:space="0" w:color="000000"/>
              <w:right w:val="single" w:sz="4" w:space="0" w:color="000000"/>
            </w:tcBorders>
          </w:tcPr>
          <w:p w:rsidR="003C3656" w:rsidRDefault="00AD1FDA">
            <w:pPr>
              <w:spacing w:line="259" w:lineRule="auto"/>
              <w:ind w:left="0" w:right="0" w:firstLine="0"/>
              <w:jc w:val="left"/>
            </w:pPr>
            <w:r>
              <w:rPr>
                <w:sz w:val="22"/>
                <w:szCs w:val="22"/>
              </w:rPr>
              <w:t xml:space="preserve">1. </w:t>
            </w:r>
          </w:p>
        </w:tc>
        <w:tc>
          <w:tcPr>
            <w:tcW w:w="3970" w:type="dxa"/>
            <w:tcBorders>
              <w:top w:val="single" w:sz="4" w:space="0" w:color="000000"/>
              <w:left w:val="single" w:sz="4" w:space="0" w:color="000000"/>
              <w:bottom w:val="single" w:sz="4" w:space="0" w:color="000000"/>
              <w:right w:val="single" w:sz="4" w:space="0" w:color="000000"/>
            </w:tcBorders>
          </w:tcPr>
          <w:p w:rsidR="003C3656" w:rsidRDefault="00AD1FDA">
            <w:pPr>
              <w:spacing w:after="1"/>
              <w:ind w:right="55" w:firstLine="0"/>
            </w:pPr>
            <w:r>
              <w:rPr>
                <w:i/>
                <w:sz w:val="22"/>
                <w:szCs w:val="22"/>
              </w:rPr>
              <w:t>Повнота та своєчасність визнання виручки від основної діяльності.</w:t>
            </w:r>
          </w:p>
          <w:p w:rsidR="003C3656" w:rsidRDefault="00AD1FDA">
            <w:pPr>
              <w:spacing w:after="2"/>
              <w:ind w:right="54" w:firstLine="0"/>
              <w:rPr>
                <w:sz w:val="22"/>
                <w:szCs w:val="22"/>
              </w:rPr>
            </w:pPr>
            <w:r>
              <w:rPr>
                <w:sz w:val="22"/>
                <w:szCs w:val="22"/>
              </w:rPr>
              <w:t xml:space="preserve">Основною діяльністю підприємства є </w:t>
            </w:r>
          </w:p>
          <w:p w:rsidR="003C3656" w:rsidRDefault="00AD1FDA">
            <w:pPr>
              <w:spacing w:line="259" w:lineRule="auto"/>
              <w:ind w:left="0" w:right="0" w:firstLine="0"/>
            </w:pPr>
            <w:r>
              <w:rPr>
                <w:sz w:val="22"/>
                <w:szCs w:val="22"/>
              </w:rPr>
              <w:t xml:space="preserve">утримання будинків і прибудинкових територій, збирання відходів.  В рамках здійснення даної діяльності підприємство укладає договори надання послуг з контрагентами і щомісяця відображає фізичні обсяги реалізації на підставі даних обліку.  </w:t>
            </w:r>
          </w:p>
          <w:p w:rsidR="003C3656" w:rsidRDefault="003C3656">
            <w:pPr>
              <w:spacing w:line="259" w:lineRule="auto"/>
              <w:ind w:right="0" w:firstLine="0"/>
              <w:jc w:val="left"/>
            </w:pPr>
          </w:p>
        </w:tc>
        <w:tc>
          <w:tcPr>
            <w:tcW w:w="4676" w:type="dxa"/>
            <w:tcBorders>
              <w:top w:val="single" w:sz="4" w:space="0" w:color="000000"/>
              <w:left w:val="single" w:sz="4" w:space="0" w:color="000000"/>
              <w:bottom w:val="single" w:sz="4" w:space="0" w:color="000000"/>
              <w:right w:val="single" w:sz="4" w:space="0" w:color="000000"/>
            </w:tcBorders>
          </w:tcPr>
          <w:p w:rsidR="003C3656" w:rsidRDefault="00AD1FDA">
            <w:pPr>
              <w:ind w:right="52" w:firstLine="0"/>
            </w:pPr>
            <w:r>
              <w:rPr>
                <w:sz w:val="22"/>
                <w:szCs w:val="22"/>
              </w:rPr>
              <w:t xml:space="preserve">Ми приділили значну увагу побудові системи обліку, документообігу та внутрішнього контролю, зокрема в частині, що стосується повноти та своєчасності визнання доходів в бухгалтерському обліку та правильності відображення такої інформації в  фінансовій звітності підприємства. </w:t>
            </w:r>
          </w:p>
          <w:p w:rsidR="003C3656" w:rsidRDefault="00AD1FDA">
            <w:pPr>
              <w:spacing w:after="2"/>
              <w:ind w:right="51" w:firstLine="0"/>
            </w:pPr>
            <w:r>
              <w:rPr>
                <w:sz w:val="22"/>
                <w:szCs w:val="22"/>
              </w:rPr>
              <w:t xml:space="preserve">Ми обговорили з керівництвом існуючу систему внутрішнього контролю обліку реалізації послуг. </w:t>
            </w:r>
          </w:p>
          <w:p w:rsidR="003C3656" w:rsidRDefault="00AD1FDA">
            <w:pPr>
              <w:ind w:right="52" w:firstLine="0"/>
            </w:pPr>
            <w:r>
              <w:rPr>
                <w:sz w:val="22"/>
                <w:szCs w:val="22"/>
              </w:rPr>
              <w:t xml:space="preserve">Нами були застосовані як процедури зовнішнього підтвердження (надання запитів споживачам), так і альтернативні процедури, зокрема, звіряння реєстрів обліку, перевірки первинних документів, тестування відповідності відображення інформації в бухгалтерських реєстрах даним первинних документів. </w:t>
            </w:r>
          </w:p>
          <w:p w:rsidR="003C3656" w:rsidRDefault="00AD1FDA">
            <w:pPr>
              <w:spacing w:line="259" w:lineRule="auto"/>
              <w:ind w:right="52" w:firstLine="0"/>
            </w:pPr>
            <w:r>
              <w:rPr>
                <w:sz w:val="22"/>
                <w:szCs w:val="22"/>
              </w:rPr>
              <w:t xml:space="preserve">Вибірково ми перевірили точність розрахунків з нарахування, правильність застосування тарифів, перевірили вихідні дані відповідних джерел. </w:t>
            </w:r>
          </w:p>
        </w:tc>
      </w:tr>
      <w:tr w:rsidR="003C3656">
        <w:trPr>
          <w:trHeight w:val="3280"/>
        </w:trPr>
        <w:tc>
          <w:tcPr>
            <w:tcW w:w="594" w:type="dxa"/>
            <w:tcBorders>
              <w:top w:val="single" w:sz="4" w:space="0" w:color="000000"/>
              <w:left w:val="single" w:sz="4" w:space="0" w:color="000000"/>
              <w:bottom w:val="single" w:sz="4" w:space="0" w:color="000000"/>
              <w:right w:val="single" w:sz="4" w:space="0" w:color="000000"/>
            </w:tcBorders>
          </w:tcPr>
          <w:p w:rsidR="003C3656" w:rsidRDefault="00AD1FDA">
            <w:pPr>
              <w:spacing w:line="259" w:lineRule="auto"/>
              <w:ind w:left="0" w:right="0" w:firstLine="0"/>
              <w:jc w:val="left"/>
            </w:pPr>
            <w:r>
              <w:rPr>
                <w:sz w:val="22"/>
                <w:szCs w:val="22"/>
              </w:rPr>
              <w:t xml:space="preserve">2 </w:t>
            </w:r>
          </w:p>
        </w:tc>
        <w:tc>
          <w:tcPr>
            <w:tcW w:w="3970" w:type="dxa"/>
            <w:tcBorders>
              <w:top w:val="single" w:sz="4" w:space="0" w:color="000000"/>
              <w:left w:val="single" w:sz="4" w:space="0" w:color="000000"/>
              <w:bottom w:val="single" w:sz="4" w:space="0" w:color="000000"/>
              <w:right w:val="single" w:sz="4" w:space="0" w:color="000000"/>
            </w:tcBorders>
          </w:tcPr>
          <w:p w:rsidR="003C3656" w:rsidRDefault="00AD1FDA">
            <w:pPr>
              <w:ind w:right="55" w:firstLine="0"/>
              <w:rPr>
                <w:i/>
                <w:sz w:val="22"/>
                <w:szCs w:val="22"/>
              </w:rPr>
            </w:pPr>
            <w:r>
              <w:rPr>
                <w:i/>
                <w:sz w:val="22"/>
                <w:szCs w:val="22"/>
              </w:rPr>
              <w:t>Формування собівартості послуг.</w:t>
            </w:r>
          </w:p>
          <w:p w:rsidR="003C3656" w:rsidRDefault="003C3656">
            <w:pPr>
              <w:spacing w:line="259" w:lineRule="auto"/>
              <w:ind w:right="0" w:firstLine="0"/>
              <w:jc w:val="left"/>
            </w:pPr>
          </w:p>
        </w:tc>
        <w:tc>
          <w:tcPr>
            <w:tcW w:w="4676" w:type="dxa"/>
            <w:tcBorders>
              <w:top w:val="single" w:sz="4" w:space="0" w:color="000000"/>
              <w:left w:val="single" w:sz="4" w:space="0" w:color="000000"/>
              <w:bottom w:val="single" w:sz="4" w:space="0" w:color="000000"/>
              <w:right w:val="single" w:sz="4" w:space="0" w:color="000000"/>
            </w:tcBorders>
          </w:tcPr>
          <w:p w:rsidR="003C3656" w:rsidRDefault="00AD1FDA">
            <w:pPr>
              <w:spacing w:line="259" w:lineRule="auto"/>
              <w:ind w:right="52" w:firstLine="0"/>
            </w:pPr>
            <w:bookmarkStart w:id="2" w:name="_1fob9te" w:colFirst="0" w:colLast="0"/>
            <w:bookmarkEnd w:id="2"/>
            <w:r>
              <w:rPr>
                <w:sz w:val="22"/>
                <w:szCs w:val="22"/>
              </w:rPr>
              <w:t xml:space="preserve">Нами було перевірено правильність формування собівартості послуг, що надаються підприємством, зокрема, основного виду послуг з утримання будинків та прибудинкових територій, збирання відходів . Нами була вивчена нормативна база, якої дотримувалося підприємство в ході власної діяльності, норми облікової політики та інших внутрішніх положень  формування собівартості. За основними видами витрат нами були проведені процедури зовнішнього підтвердження витрат, альтернативні процедури перевірки первинних документів, договорів, реєстрів обліку, а також аналітичні процедури перерахунку.   </w:t>
            </w:r>
          </w:p>
        </w:tc>
      </w:tr>
      <w:tr w:rsidR="003C3656">
        <w:trPr>
          <w:trHeight w:val="13160"/>
        </w:trPr>
        <w:tc>
          <w:tcPr>
            <w:tcW w:w="594" w:type="dxa"/>
            <w:tcBorders>
              <w:top w:val="single" w:sz="4" w:space="0" w:color="000000"/>
              <w:left w:val="single" w:sz="4" w:space="0" w:color="000000"/>
              <w:bottom w:val="single" w:sz="4" w:space="0" w:color="000000"/>
              <w:right w:val="single" w:sz="4" w:space="0" w:color="000000"/>
            </w:tcBorders>
          </w:tcPr>
          <w:p w:rsidR="003C3656" w:rsidRDefault="00AD1FDA">
            <w:pPr>
              <w:spacing w:line="259" w:lineRule="auto"/>
              <w:ind w:left="0" w:right="0" w:firstLine="0"/>
              <w:jc w:val="left"/>
            </w:pPr>
            <w:r>
              <w:rPr>
                <w:sz w:val="22"/>
                <w:szCs w:val="22"/>
              </w:rPr>
              <w:lastRenderedPageBreak/>
              <w:t xml:space="preserve">3 </w:t>
            </w:r>
          </w:p>
        </w:tc>
        <w:tc>
          <w:tcPr>
            <w:tcW w:w="3970" w:type="dxa"/>
            <w:tcBorders>
              <w:top w:val="single" w:sz="4" w:space="0" w:color="000000"/>
              <w:left w:val="single" w:sz="4" w:space="0" w:color="000000"/>
              <w:bottom w:val="single" w:sz="4" w:space="0" w:color="000000"/>
              <w:right w:val="single" w:sz="4" w:space="0" w:color="000000"/>
            </w:tcBorders>
          </w:tcPr>
          <w:p w:rsidR="003C3656" w:rsidRDefault="00AD1FDA">
            <w:pPr>
              <w:tabs>
                <w:tab w:val="center" w:pos="2387"/>
                <w:tab w:val="right" w:pos="3812"/>
              </w:tabs>
              <w:spacing w:line="259" w:lineRule="auto"/>
              <w:ind w:left="0" w:right="0" w:firstLine="0"/>
              <w:jc w:val="left"/>
              <w:rPr>
                <w:i/>
                <w:sz w:val="22"/>
                <w:szCs w:val="22"/>
              </w:rPr>
            </w:pPr>
            <w:r>
              <w:rPr>
                <w:i/>
                <w:sz w:val="22"/>
                <w:szCs w:val="22"/>
              </w:rPr>
              <w:t xml:space="preserve">Безперервність </w:t>
            </w:r>
            <w:r>
              <w:rPr>
                <w:i/>
                <w:sz w:val="22"/>
                <w:szCs w:val="22"/>
              </w:rPr>
              <w:tab/>
              <w:t>діяльності.</w:t>
            </w:r>
            <w:r>
              <w:rPr>
                <w:i/>
                <w:sz w:val="22"/>
                <w:szCs w:val="22"/>
              </w:rPr>
              <w:tab/>
            </w:r>
          </w:p>
          <w:p w:rsidR="003C3656" w:rsidRDefault="003C3656">
            <w:pPr>
              <w:spacing w:line="259" w:lineRule="auto"/>
              <w:ind w:left="0" w:right="0" w:firstLine="0"/>
              <w:jc w:val="left"/>
            </w:pPr>
          </w:p>
        </w:tc>
        <w:tc>
          <w:tcPr>
            <w:tcW w:w="4676" w:type="dxa"/>
            <w:tcBorders>
              <w:top w:val="single" w:sz="4" w:space="0" w:color="000000"/>
              <w:left w:val="single" w:sz="4" w:space="0" w:color="000000"/>
              <w:bottom w:val="single" w:sz="4" w:space="0" w:color="000000"/>
              <w:right w:val="single" w:sz="4" w:space="0" w:color="000000"/>
            </w:tcBorders>
          </w:tcPr>
          <w:p w:rsidR="003C3656" w:rsidRDefault="00AD1FDA">
            <w:pPr>
              <w:spacing w:after="2"/>
              <w:ind w:left="0" w:right="53" w:firstLine="0"/>
            </w:pPr>
            <w:r>
              <w:rPr>
                <w:sz w:val="22"/>
                <w:szCs w:val="22"/>
              </w:rPr>
              <w:t xml:space="preserve">Діяльність підприємств в Україні відбувалась та відбувається в умовах політичних та економічних змін, в умовах фінансової нестабільності та недосконалості законодавства. Майбутній розвиток зазначених факторів, їх наслідок та вплив на функціонування економіки – невідомі. Аудиторами були ідентифіковані певні умови та події, які потенційно можуть мати ризики щодо порушення принципу безперервності діяльності підприємства.  </w:t>
            </w:r>
          </w:p>
          <w:p w:rsidR="003C3656" w:rsidRDefault="00AD1FDA">
            <w:pPr>
              <w:ind w:left="0" w:right="52" w:firstLine="0"/>
            </w:pPr>
            <w:r>
              <w:rPr>
                <w:sz w:val="22"/>
                <w:szCs w:val="22"/>
              </w:rPr>
              <w:t xml:space="preserve">Задля отримання достатніх та доречних доказів щодо можливості підприємства функціонувати на безперервній основі аудиторами були проведено ознайомлення з рішеннями найвищого органу управління, обговорення та отримання пояснень щодо проведення  керівним персоналом відповідних заходів, проаналізована фінансова звітність на останню звітну дату та оцінені фінансові показники діяльності на момент аудиту. Також аудиторами були вивчені всі незакінчені судові справи, в яких підприємство виступає стороною, проведені обговорення всіх аспектів та можливих наслідків з керівним персоналом, юристами підприємства та зовнішніми юристами. </w:t>
            </w:r>
          </w:p>
          <w:p w:rsidR="003C3656" w:rsidRDefault="00AD1FDA">
            <w:pPr>
              <w:spacing w:after="1"/>
              <w:ind w:left="0" w:right="53" w:firstLine="0"/>
            </w:pPr>
            <w:r>
              <w:rPr>
                <w:sz w:val="22"/>
                <w:szCs w:val="22"/>
              </w:rPr>
              <w:t xml:space="preserve">Керівництво стежить за станом розвитку поточної ситуації і вживає заходів, за необхідності, для мінімізації будь-яких негативних наслідків наскільки це можливо. Подальший негативний розвиток подій у політичній ситуації, макроекономічних умовах може і далі негативно впливати  на діяльність підприємства у такий спосіб, що наразі не може бути визначений. Керівництво вважає, що ним здійснюються всі заходи, необхідні для підтримки стабільної діяльності та розвитку підприємства. </w:t>
            </w:r>
          </w:p>
          <w:p w:rsidR="003C3656" w:rsidRDefault="00AD1FDA">
            <w:pPr>
              <w:spacing w:after="4"/>
              <w:ind w:left="0" w:right="53" w:firstLine="0"/>
            </w:pPr>
            <w:r>
              <w:rPr>
                <w:sz w:val="22"/>
                <w:szCs w:val="22"/>
              </w:rPr>
              <w:t xml:space="preserve">Дана фінансова звітність не включає ніяких коригувань, які можуть мати місце в результаті такої невизначеності. Про необхідність таких корегувань буде повідомлено, якщо вони стануть відомі і зможуть бути оцінені. </w:t>
            </w:r>
          </w:p>
          <w:p w:rsidR="003C3656" w:rsidRDefault="00AD1FDA">
            <w:pPr>
              <w:spacing w:line="259" w:lineRule="auto"/>
              <w:ind w:left="0" w:right="53" w:firstLine="0"/>
            </w:pPr>
            <w:r>
              <w:rPr>
                <w:sz w:val="22"/>
                <w:szCs w:val="22"/>
              </w:rPr>
              <w:t xml:space="preserve">В результаті проведення вказаних аудиторських процедур аудитори вважають, що отримали достатні та доречні докази того, що підприємство </w:t>
            </w:r>
            <w:proofErr w:type="spellStart"/>
            <w:r>
              <w:rPr>
                <w:sz w:val="22"/>
                <w:szCs w:val="22"/>
              </w:rPr>
              <w:t>здатно</w:t>
            </w:r>
            <w:proofErr w:type="spellEnd"/>
            <w:r>
              <w:rPr>
                <w:sz w:val="22"/>
                <w:szCs w:val="22"/>
              </w:rPr>
              <w:t xml:space="preserve"> функціонувати на безперервній основі принаймні на протязі 12 місяців  від дати звітності. </w:t>
            </w:r>
          </w:p>
        </w:tc>
      </w:tr>
    </w:tbl>
    <w:p w:rsidR="003C3656" w:rsidRDefault="003C3656">
      <w:pPr>
        <w:spacing w:after="0" w:line="259" w:lineRule="auto"/>
        <w:ind w:left="568" w:right="0" w:firstLine="0"/>
      </w:pPr>
    </w:p>
    <w:p w:rsidR="003C3656" w:rsidRDefault="003C3656">
      <w:pPr>
        <w:spacing w:after="0" w:line="259" w:lineRule="auto"/>
        <w:ind w:left="568" w:right="0" w:firstLine="0"/>
        <w:jc w:val="left"/>
      </w:pPr>
    </w:p>
    <w:p w:rsidR="003C3656" w:rsidRDefault="003C3656"/>
    <w:p w:rsidR="003C3656" w:rsidRDefault="003C3656"/>
    <w:p w:rsidR="003C3656" w:rsidRDefault="003C3656"/>
    <w:p w:rsidR="005F2F91" w:rsidRDefault="005F2F91">
      <w:pPr>
        <w:rPr>
          <w:b/>
        </w:rPr>
      </w:pPr>
    </w:p>
    <w:p w:rsidR="003C3656" w:rsidRDefault="00AD1FDA">
      <w:pPr>
        <w:rPr>
          <w:b/>
        </w:rPr>
      </w:pPr>
      <w:r>
        <w:rPr>
          <w:b/>
        </w:rPr>
        <w:lastRenderedPageBreak/>
        <w:t>НАША МЕТОДОЛОГІЯ АУДИТУ</w:t>
      </w:r>
    </w:p>
    <w:p w:rsidR="003C3656" w:rsidRDefault="003C3656">
      <w:pPr>
        <w:spacing w:after="0" w:line="259" w:lineRule="auto"/>
        <w:ind w:left="429" w:right="0" w:firstLine="0"/>
        <w:jc w:val="left"/>
      </w:pPr>
    </w:p>
    <w:p w:rsidR="003C3656" w:rsidRDefault="00AD1FDA">
      <w:pPr>
        <w:ind w:left="-13" w:right="220" w:firstLine="427"/>
      </w:pPr>
      <w:r>
        <w:t xml:space="preserve">Наша методологія аудиту передбачає визначення суттєвості і оцінку ризиків суттєвого викривлення фінансової звітності. Зокрема, ми проаналізували, в яких областях керівництво виносило суб'єктивного судження, наприклад, щодо значущих бухгалтерських оцінок, що включало застосування припущень і розгляд майбутніх подій, з якими в силу їх характеру пов'язана невизначеності. Ми також розглянули ризик обходу засобів внутрішнього контролю керівництвом, включаючи, крім іншого, оцінку наявності ознак необ'єктивності керівництва, яка створює ризик істотного спотворення внаслідок недобросовісних дій. </w:t>
      </w:r>
    </w:p>
    <w:p w:rsidR="003C3656" w:rsidRDefault="003C3656">
      <w:pPr>
        <w:spacing w:after="0" w:line="259" w:lineRule="auto"/>
        <w:ind w:right="0" w:firstLine="0"/>
        <w:jc w:val="left"/>
      </w:pPr>
    </w:p>
    <w:p w:rsidR="003C3656" w:rsidRDefault="00AD1FDA">
      <w:pPr>
        <w:pStyle w:val="3"/>
        <w:ind w:left="563" w:right="218"/>
      </w:pPr>
      <w:r>
        <w:t xml:space="preserve">Визначення обсягу аудиту  </w:t>
      </w:r>
    </w:p>
    <w:p w:rsidR="003C3656" w:rsidRDefault="00AD1FDA">
      <w:pPr>
        <w:spacing w:after="63" w:line="240" w:lineRule="auto"/>
        <w:ind w:firstLine="566"/>
      </w:pPr>
      <w:r>
        <w:rPr>
          <w:color w:val="212121"/>
        </w:rPr>
        <w:t xml:space="preserve">Обсяг аудиту визначено нами таким чином, щоб ми могли отримати прийнятні аудиторські докази у достатньому обсязі для висловлення нашої думки про те, </w:t>
      </w:r>
      <w:r>
        <w:t>чи складена фінансова звітність у всіх суттєвих аспектах відповідно до застосовної концептуальної основи фінансового звітування</w:t>
      </w:r>
      <w:r>
        <w:rPr>
          <w:color w:val="212121"/>
        </w:rPr>
        <w:t xml:space="preserve"> з урахуванням обґрунтованості облікових оцінок, засобів контролю, а також </w:t>
      </w:r>
      <w:r>
        <w:t xml:space="preserve">специфіки галузі в якій підприємство здійснює свою діяльність. </w:t>
      </w:r>
    </w:p>
    <w:p w:rsidR="003C3656" w:rsidRDefault="00AD1FDA">
      <w:pPr>
        <w:spacing w:after="50"/>
        <w:ind w:left="-13" w:right="220"/>
      </w:pPr>
      <w:r>
        <w:t xml:space="preserve">Аудитори перевіряли фінансову звітність на основі тестування. Рівень тестування, яке ми проводили, ґрунтується на нашій оцінці ризику того, чи стаття у фінансовій звітності може бути суттєво викривлена. У зв'язку з цим наш аудиторський підхід був зосереджено на тих сферах діяльності підприємства, які вважалися нами значними для результатів діяльності за звітний період та фінансового стану на 31.12.2018 р. </w:t>
      </w:r>
    </w:p>
    <w:p w:rsidR="003C3656" w:rsidRDefault="00AD1FDA">
      <w:pPr>
        <w:spacing w:after="47"/>
        <w:ind w:left="-13" w:right="220"/>
      </w:pPr>
      <w:r>
        <w:t xml:space="preserve">Під час розробки плану аудиту, ми отримували розуміння підприємства і його середовища для того, щоб виявити і оцінити ризики суттєвого викривлення фінансової звітності внаслідок шахрайства або помилки. Наш план аудиту був розроблений таким чином, щоб зосередити увагу на виявлених областях значного ризику. </w:t>
      </w:r>
    </w:p>
    <w:p w:rsidR="003C3656" w:rsidRDefault="00AD1FDA">
      <w:pPr>
        <w:spacing w:after="47"/>
        <w:ind w:left="-13" w:right="220"/>
      </w:pPr>
      <w:r>
        <w:t xml:space="preserve">Значні ризики виникають у більшості аудитів та часто пов'язані із бізнес-ризиками, які можуть призвести до суттєвих викривлень, наприклад, внаслідок незвичайних операцій, або застосування управлінським персоналом суджень стосовно статей фінансової звітності, яким властивий високий ступінь невизначеності. </w:t>
      </w:r>
    </w:p>
    <w:p w:rsidR="003C3656" w:rsidRDefault="00AD1FDA">
      <w:pPr>
        <w:spacing w:after="82"/>
        <w:ind w:left="-13" w:right="220"/>
      </w:pPr>
      <w:r>
        <w:t xml:space="preserve">Ми проводили детальне тестування операцій і залишків на кінець періоду, де наш аналіз ризику або результати наших аналітичних процедур вказують на необхідність отримання нами додаткової аудиторської впевненості. З іншого боку, ми покладалися на систему внутрішнього контролю, що діє на підприємства у разі, якщо інші аудиторські процедури виявляються недоцільними або недостатніми. </w:t>
      </w:r>
    </w:p>
    <w:p w:rsidR="003C3656" w:rsidRDefault="00AD1FDA">
      <w:pPr>
        <w:ind w:left="-13" w:right="220" w:firstLine="0"/>
      </w:pPr>
      <w:r>
        <w:tab/>
        <w:t xml:space="preserve">Ми виконували наступні дії у зв’язку зі значними ризиками суттєвого викривлення.  </w:t>
      </w:r>
    </w:p>
    <w:p w:rsidR="003C3656" w:rsidRDefault="003C3656">
      <w:pPr>
        <w:spacing w:after="40" w:line="259" w:lineRule="auto"/>
        <w:ind w:right="0" w:firstLine="0"/>
        <w:jc w:val="left"/>
      </w:pPr>
    </w:p>
    <w:p w:rsidR="003C3656" w:rsidRDefault="003C3656">
      <w:pPr>
        <w:pStyle w:val="3"/>
        <w:spacing w:after="96"/>
        <w:ind w:left="563" w:right="218"/>
      </w:pPr>
    </w:p>
    <w:p w:rsidR="003C3656" w:rsidRDefault="00AD1FDA">
      <w:pPr>
        <w:pStyle w:val="3"/>
        <w:spacing w:after="96"/>
        <w:ind w:left="563" w:right="218"/>
      </w:pPr>
      <w:r>
        <w:t xml:space="preserve">Аудиторські оцінки </w:t>
      </w:r>
    </w:p>
    <w:p w:rsidR="003C3656" w:rsidRDefault="00AD1FDA">
      <w:pPr>
        <w:ind w:left="-13" w:right="220"/>
      </w:pPr>
      <w:r>
        <w:t xml:space="preserve">При ознайомленні з цим звітом необхідно враховувати обмежений, як зазначено вище характер процедур з оцінки питань, пов’язаних з діяльністю підприємства та організацією системи бухгалтерського обліку та внутрішнього контролю. </w:t>
      </w:r>
    </w:p>
    <w:p w:rsidR="003C3656" w:rsidRDefault="00AD1FDA">
      <w:pPr>
        <w:ind w:left="-13" w:right="220"/>
      </w:pPr>
      <w:r>
        <w:lastRenderedPageBreak/>
        <w:t xml:space="preserve">Крім того, слід враховувати, що критерії оцінки питань, пов’язаних з діяльністю підприємства і організації системи бухгалтерського обліку та внутрішнього контролю, використовувані нами, можуть відрізнятись від критеріїв, що застосовуються підприємством. </w:t>
      </w:r>
    </w:p>
    <w:p w:rsidR="003C3656" w:rsidRDefault="00AD1FDA">
      <w:pPr>
        <w:ind w:left="-13" w:right="220"/>
      </w:pPr>
      <w:r>
        <w:t xml:space="preserve">Наводимо інформацію та відповідні розкриття щодо вищезазначених вимог Закону. </w:t>
      </w:r>
    </w:p>
    <w:p w:rsidR="003C3656" w:rsidRDefault="003C3656">
      <w:pPr>
        <w:spacing w:after="0" w:line="259" w:lineRule="auto"/>
        <w:ind w:left="568" w:right="0" w:firstLine="0"/>
        <w:jc w:val="left"/>
      </w:pPr>
    </w:p>
    <w:p w:rsidR="003C3656" w:rsidRDefault="00AD1FDA">
      <w:pPr>
        <w:pStyle w:val="3"/>
        <w:ind w:left="563" w:right="218"/>
      </w:pPr>
      <w:r>
        <w:t xml:space="preserve">Опис та оцінка ризиків </w:t>
      </w:r>
    </w:p>
    <w:p w:rsidR="003C3656" w:rsidRDefault="00AD1FDA">
      <w:pPr>
        <w:spacing w:after="154"/>
        <w:ind w:left="-13" w:right="220"/>
      </w:pPr>
      <w:r>
        <w:t xml:space="preserve">Під час аудиту фінансової звітності, за результатами якого складено цей Звіт незалежного аудитора, ми виконали аудиторські процедури оцінки ризиків суттєвого викривлення інформації у фінансовій звітності, що перевірялася, зокрема, внаслідок шахрайства, що включають: </w:t>
      </w:r>
    </w:p>
    <w:p w:rsidR="003C3656" w:rsidRDefault="003C3656">
      <w:pPr>
        <w:spacing w:after="0" w:line="259" w:lineRule="auto"/>
        <w:ind w:right="0" w:firstLine="0"/>
        <w:jc w:val="left"/>
      </w:pPr>
    </w:p>
    <w:p w:rsidR="003C3656" w:rsidRDefault="00AD1FDA">
      <w:pPr>
        <w:pStyle w:val="3"/>
        <w:ind w:left="563" w:right="218"/>
      </w:pPr>
      <w:r>
        <w:t xml:space="preserve">Ризик втрати ліквідності </w:t>
      </w:r>
    </w:p>
    <w:p w:rsidR="003C3656" w:rsidRDefault="00AD1FDA">
      <w:pPr>
        <w:ind w:left="-13" w:right="220"/>
      </w:pPr>
      <w:r>
        <w:t xml:space="preserve">Підприємства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 справедлива вартість, з метою погашення зобов’язань. </w:t>
      </w:r>
    </w:p>
    <w:p w:rsidR="003C3656" w:rsidRDefault="00AD1FDA">
      <w:pPr>
        <w:spacing w:after="0" w:line="259" w:lineRule="auto"/>
        <w:ind w:left="568" w:right="0" w:firstLine="0"/>
        <w:jc w:val="left"/>
      </w:pPr>
      <w:r>
        <w:rPr>
          <w:i/>
        </w:rPr>
        <w:t xml:space="preserve">Дії у відповідь та вжиті заходи </w:t>
      </w:r>
    </w:p>
    <w:p w:rsidR="003C3656" w:rsidRDefault="00AD1FDA">
      <w:pPr>
        <w:ind w:left="-13" w:right="220"/>
      </w:pPr>
      <w:r>
        <w:t xml:space="preserve">Ми виконали аналітичні процедури по суті  разом із детальними тестами як процедурами по суті відповідно до вимог професійних стандартів щодо відображених сум/або коефіцієнтів, беручи до уваги джерело, порівнянність, характер і відповідність доступної інформації, та заходи внутрішнього контролю за підготовкою фінансової звітності. </w:t>
      </w:r>
    </w:p>
    <w:p w:rsidR="003C3656" w:rsidRDefault="00AD1FDA">
      <w:pPr>
        <w:ind w:left="-13" w:right="220"/>
      </w:pPr>
      <w:r>
        <w:t xml:space="preserve">Ми  проаналізували обставини, що можуть вплинути на коефіцієнти, які використовуються для оцінки фінансового стану, результати діяльності або рух грошових коштів підприємства та можуть призвести до викривлень інформації, зокрема зміни в тенденціях чи важливих коефіцієнтах фінансової звітності або їх співвідношеннях. </w:t>
      </w:r>
    </w:p>
    <w:p w:rsidR="003C3656" w:rsidRDefault="00AD1FDA">
      <w:pPr>
        <w:ind w:left="-13" w:right="220"/>
      </w:pPr>
      <w:r>
        <w:t>Ми виконали процедури зовнішнього підтвердження щодо залишків рахунків дебіторської заборгованості та їх умови, а також провели інспектування документів після завершення періоду та системи внутрішнього контролю підприємства, пов’язаною із сплатою дебіторської заборгованості та інших фінансових активів.</w:t>
      </w:r>
    </w:p>
    <w:p w:rsidR="003C3656" w:rsidRDefault="00AD1FDA">
      <w:pPr>
        <w:ind w:left="-13" w:right="220"/>
      </w:pPr>
      <w:r>
        <w:t xml:space="preserve">В результаті ми встановили, що підприємства проводиться моніторинг показників ліквідності та вживає заходів, для запобігання зниження встановлених показників ліквідності. Такими заходами є постійне підтримання наявності достатнього рівня грошових коштів, ліквідних фінансових ресурсів для виконання зобов’язань при настанні термінів їх погашення. Основу фінансових ресурсів, відмінних від високоліквідних ресурсів - грошових коштів підприємства, складають розрахунки зі споживачами. Підприємство здійснює постійний моніторинг стану розрахунків споживачів та інших дебіторів за надані послуги, активно застосовуючи механізми впливу на боржників, передбачені законодавством, що дозволяє досягати ефективного стану управління ризиком ліквідності. Підприємство аналізує свої активи та зобов’язання за строками їх погашення та планує свою ліквідність залежно від очікуваних строків виконання зобов’язань за відповідними інструментами. </w:t>
      </w:r>
    </w:p>
    <w:p w:rsidR="003C3656" w:rsidRDefault="003C3656">
      <w:pPr>
        <w:spacing w:after="0" w:line="259" w:lineRule="auto"/>
        <w:ind w:right="0" w:firstLine="0"/>
        <w:jc w:val="left"/>
      </w:pPr>
    </w:p>
    <w:p w:rsidR="003C3656" w:rsidRDefault="00AD1FDA">
      <w:pPr>
        <w:spacing w:after="0" w:line="259" w:lineRule="auto"/>
        <w:ind w:right="0" w:firstLine="0"/>
        <w:jc w:val="left"/>
        <w:rPr>
          <w:b/>
        </w:rPr>
      </w:pPr>
      <w:r>
        <w:rPr>
          <w:b/>
        </w:rPr>
        <w:t>ВІДПОВІДАЛЬНІСТЬ УПРАВЛІНСЬКОГО ПЕРСОНАЛУ ТА ТИХ, КОГО НАДІЛЕНО НАЙВИЩИМИ ПОВНОВАЖЕННЯМИ</w:t>
      </w:r>
    </w:p>
    <w:p w:rsidR="003C3656" w:rsidRDefault="003C3656">
      <w:pPr>
        <w:spacing w:after="12" w:line="259" w:lineRule="auto"/>
        <w:ind w:right="0" w:firstLine="0"/>
        <w:jc w:val="left"/>
      </w:pPr>
    </w:p>
    <w:p w:rsidR="003C3656" w:rsidRDefault="00AD1FDA">
      <w:pPr>
        <w:ind w:left="-13" w:right="220"/>
      </w:pPr>
      <w:r>
        <w:t xml:space="preserve">Управлінський персонал несе відповідальність за складання і достовірне подання цієї фінансової звітності у відповідності до Національних положень (стандартів) бухгалтерського обліку та Закону України "Про бухгалтерський облік та фінансову звітність в Україні" від 16.07.1999 р. N 996-XIV, а  також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w:t>
      </w:r>
    </w:p>
    <w:p w:rsidR="003C3656" w:rsidRDefault="00AD1FDA">
      <w:pPr>
        <w:ind w:left="-13" w:right="220"/>
      </w:pPr>
      <w:r>
        <w:t xml:space="preserve">При складанні фінансової звітності управлінський персонал несе відповідальність за оцінку здатності підприємства продовжувати свою діяльність на безперервній основі, розкриваючи питання, що стосуються безперервності діяльності, та використовуючи припущення про безперервність діяльності як основи для бухгалтерського обліку та фінансової звітності, крім випадків, якщо управлінський персонал або планує ліквідувати підприємства чи припинити діяльність, або не має інших реальних альтернатив цьому.  </w:t>
      </w:r>
    </w:p>
    <w:p w:rsidR="003C3656" w:rsidRDefault="00AD1FDA">
      <w:pPr>
        <w:ind w:left="-13" w:right="220"/>
      </w:pPr>
      <w:r>
        <w:t xml:space="preserve">Ті, кого наділено найвищими повноваженнями, несуть відповідальність за нагляд за процесом фінансового звітування підприємства. </w:t>
      </w:r>
    </w:p>
    <w:p w:rsidR="003C3656" w:rsidRDefault="003C3656">
      <w:pPr>
        <w:spacing w:after="0" w:line="259" w:lineRule="auto"/>
        <w:ind w:left="567" w:right="0" w:firstLine="0"/>
        <w:jc w:val="left"/>
      </w:pPr>
    </w:p>
    <w:p w:rsidR="003C3656" w:rsidRDefault="00AD1FDA">
      <w:pPr>
        <w:spacing w:after="0" w:line="259" w:lineRule="auto"/>
        <w:ind w:left="0" w:right="0" w:firstLine="0"/>
        <w:rPr>
          <w:b/>
        </w:rPr>
      </w:pPr>
      <w:r>
        <w:rPr>
          <w:b/>
        </w:rPr>
        <w:t>ВІДПОВІДАЛЬНІСТЬ АУДИТОРА ЗА АУДИТ ФІНАНСОВИХ ЗВІТІВ</w:t>
      </w:r>
    </w:p>
    <w:p w:rsidR="003C3656" w:rsidRDefault="003C3656">
      <w:pPr>
        <w:spacing w:after="12" w:line="259" w:lineRule="auto"/>
        <w:ind w:right="0" w:firstLine="0"/>
        <w:jc w:val="left"/>
      </w:pPr>
    </w:p>
    <w:p w:rsidR="003C3656" w:rsidRDefault="00AD1FDA">
      <w:pPr>
        <w:ind w:left="-13" w:right="220"/>
      </w:pPr>
      <w:r>
        <w:t xml:space="preserve">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який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таке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 </w:t>
      </w:r>
    </w:p>
    <w:p w:rsidR="003C3656" w:rsidRDefault="00AD1FDA">
      <w:pPr>
        <w:ind w:left="-13" w:right="220"/>
      </w:pPr>
      <w:r>
        <w:t xml:space="preserve">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 </w:t>
      </w:r>
    </w:p>
    <w:p w:rsidR="003C3656" w:rsidRDefault="00AD1FDA">
      <w:pPr>
        <w:numPr>
          <w:ilvl w:val="0"/>
          <w:numId w:val="3"/>
        </w:numPr>
        <w:ind w:right="220"/>
      </w:pPr>
      <w:r>
        <w:t xml:space="preserve">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 </w:t>
      </w:r>
    </w:p>
    <w:p w:rsidR="003C3656" w:rsidRDefault="00AD1FDA">
      <w:pPr>
        <w:numPr>
          <w:ilvl w:val="0"/>
          <w:numId w:val="3"/>
        </w:numPr>
        <w:ind w:right="220"/>
      </w:pPr>
      <w:r>
        <w:t xml:space="preserve">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 </w:t>
      </w:r>
    </w:p>
    <w:p w:rsidR="003C3656" w:rsidRDefault="00AD1FDA">
      <w:pPr>
        <w:numPr>
          <w:ilvl w:val="0"/>
          <w:numId w:val="3"/>
        </w:numPr>
        <w:ind w:right="220"/>
      </w:pPr>
      <w:r>
        <w:lastRenderedPageBreak/>
        <w:t xml:space="preserve">оцінюємо прийнятність застосованих облікових політик та обґрунтованість облікових оцінок і відповідних </w:t>
      </w:r>
      <w:proofErr w:type="spellStart"/>
      <w:r>
        <w:t>розкриттів</w:t>
      </w:r>
      <w:proofErr w:type="spellEnd"/>
      <w:r>
        <w:t xml:space="preserve"> інформації, зроблених управлінським персоналом; </w:t>
      </w:r>
    </w:p>
    <w:p w:rsidR="003C3656" w:rsidRDefault="00AD1FDA">
      <w:pPr>
        <w:numPr>
          <w:ilvl w:val="0"/>
          <w:numId w:val="3"/>
        </w:numPr>
        <w:ind w:right="220"/>
      </w:pPr>
      <w:r>
        <w:t xml:space="preserve">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підприємством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w:t>
      </w:r>
      <w:proofErr w:type="spellStart"/>
      <w:r>
        <w:t>розкриттів</w:t>
      </w:r>
      <w:proofErr w:type="spellEnd"/>
      <w:r>
        <w:t xml:space="preserve">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підприємство припинити свою діяльність на безперервній основі. </w:t>
      </w:r>
    </w:p>
    <w:p w:rsidR="003C3656" w:rsidRDefault="00AD1FDA">
      <w:pPr>
        <w:numPr>
          <w:ilvl w:val="0"/>
          <w:numId w:val="3"/>
        </w:numPr>
        <w:ind w:right="220"/>
      </w:pPr>
      <w:r>
        <w:t xml:space="preserve">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 </w:t>
      </w:r>
    </w:p>
    <w:p w:rsidR="003C3656" w:rsidRDefault="003C3656">
      <w:pPr>
        <w:spacing w:after="0" w:line="259" w:lineRule="auto"/>
        <w:ind w:left="568" w:right="0" w:firstLine="0"/>
        <w:jc w:val="left"/>
      </w:pPr>
    </w:p>
    <w:p w:rsidR="003C3656" w:rsidRDefault="00AD1FDA">
      <w:pPr>
        <w:ind w:left="-13" w:right="220"/>
      </w:pPr>
      <w:r>
        <w:t xml:space="preserve">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 </w:t>
      </w:r>
    </w:p>
    <w:p w:rsidR="003C3656" w:rsidRDefault="00AD1FDA">
      <w:pPr>
        <w:ind w:left="-13" w:right="220"/>
      </w:pPr>
      <w:r>
        <w:t xml:space="preserve">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w:t>
      </w:r>
      <w:proofErr w:type="spellStart"/>
      <w:r>
        <w:t>застосовно</w:t>
      </w:r>
      <w:proofErr w:type="spellEnd"/>
      <w:r>
        <w:t xml:space="preserve">, щодо відповідних застережних заходів. </w:t>
      </w:r>
    </w:p>
    <w:p w:rsidR="003C3656" w:rsidRDefault="00AD1FDA">
      <w:pPr>
        <w:ind w:left="-13" w:right="220"/>
      </w:pPr>
      <w:r>
        <w:t xml:space="preserve">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Ми описуємо ці питання в своєму звіті аудитора крім випадків, якщо законодавчим чи регуляторним актом заборонено публічне розкриття такого питання, або якщо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 </w:t>
      </w:r>
    </w:p>
    <w:p w:rsidR="003C3656" w:rsidRDefault="003C3656">
      <w:pPr>
        <w:spacing w:after="0" w:line="259" w:lineRule="auto"/>
        <w:ind w:left="568" w:right="0" w:firstLine="0"/>
        <w:jc w:val="left"/>
      </w:pPr>
    </w:p>
    <w:p w:rsidR="003C3656" w:rsidRDefault="00AD1FDA">
      <w:pPr>
        <w:spacing w:after="0" w:line="259" w:lineRule="auto"/>
        <w:ind w:left="568" w:right="0" w:hanging="568"/>
        <w:jc w:val="left"/>
        <w:rPr>
          <w:b/>
        </w:rPr>
      </w:pPr>
      <w:r>
        <w:rPr>
          <w:b/>
        </w:rPr>
        <w:t>ДОДАТКОВА ІНФОРМАЦІЯ</w:t>
      </w:r>
    </w:p>
    <w:p w:rsidR="003C3656" w:rsidRDefault="003C3656">
      <w:pPr>
        <w:spacing w:after="0" w:line="259" w:lineRule="auto"/>
        <w:ind w:right="0" w:firstLine="0"/>
        <w:jc w:val="left"/>
      </w:pPr>
    </w:p>
    <w:p w:rsidR="003C3656" w:rsidRDefault="00AD1FDA">
      <w:pPr>
        <w:pStyle w:val="3"/>
        <w:ind w:left="563" w:right="218"/>
      </w:pPr>
      <w:r>
        <w:t xml:space="preserve">Орган призначення та дата призначення </w:t>
      </w:r>
    </w:p>
    <w:p w:rsidR="003C3656" w:rsidRDefault="00AD1FDA">
      <w:pPr>
        <w:ind w:left="-13" w:right="220" w:firstLine="0"/>
      </w:pPr>
      <w:r>
        <w:t xml:space="preserve">        Цей аудит призначено Комунальним Підприємством Чопської міської ради «Чистий Чоп» </w:t>
      </w:r>
    </w:p>
    <w:p w:rsidR="003C3656" w:rsidRDefault="003C3656">
      <w:pPr>
        <w:spacing w:after="0" w:line="259" w:lineRule="auto"/>
        <w:ind w:left="568" w:right="0" w:firstLine="0"/>
        <w:jc w:val="left"/>
      </w:pPr>
    </w:p>
    <w:p w:rsidR="003C3656" w:rsidRDefault="00AD1FDA">
      <w:pPr>
        <w:pStyle w:val="3"/>
        <w:ind w:left="563" w:right="218"/>
      </w:pPr>
      <w:r>
        <w:t xml:space="preserve">Загальна тривалість виконання завдання </w:t>
      </w:r>
    </w:p>
    <w:p w:rsidR="003C3656" w:rsidRDefault="00AD1FDA">
      <w:pPr>
        <w:ind w:left="568" w:right="220" w:firstLine="0"/>
      </w:pPr>
      <w:r>
        <w:t xml:space="preserve">Дата початку виконання завдання – 19 квітня 2019 року.   </w:t>
      </w:r>
    </w:p>
    <w:p w:rsidR="003C3656" w:rsidRDefault="00AD1FDA">
      <w:pPr>
        <w:spacing w:after="103"/>
        <w:ind w:left="567" w:right="220" w:firstLine="0"/>
      </w:pPr>
      <w:r>
        <w:t>Дата закінчення виконання завдання – 20 травня 2019 року.</w:t>
      </w:r>
    </w:p>
    <w:p w:rsidR="003C3656" w:rsidRDefault="00AD1FDA">
      <w:pPr>
        <w:spacing w:after="114"/>
        <w:ind w:left="-13" w:right="220" w:firstLine="0"/>
      </w:pPr>
      <w:r>
        <w:lastRenderedPageBreak/>
        <w:t xml:space="preserve">        ТОВ «АФ «Столиця-Аудит»» не  надавало послуги з аудиту фінансової звітності підприємства за попередній 2017 рік, а також  не виконувало огляд проміжної фінансової звітності підприємства станом на 30.06.2018 р. </w:t>
      </w:r>
    </w:p>
    <w:p w:rsidR="003C3656" w:rsidRDefault="003C3656">
      <w:pPr>
        <w:spacing w:after="0" w:line="259" w:lineRule="auto"/>
        <w:ind w:left="567" w:right="0" w:firstLine="0"/>
        <w:jc w:val="left"/>
      </w:pPr>
    </w:p>
    <w:p w:rsidR="003C3656" w:rsidRDefault="00AD1FDA">
      <w:pPr>
        <w:pStyle w:val="3"/>
        <w:ind w:left="1" w:right="218" w:firstLine="566"/>
      </w:pPr>
      <w:r>
        <w:t xml:space="preserve">Пояснення щодо результативності аудиту в частині виявлення порушень, зокрема пов'язаних із шахрайством </w:t>
      </w:r>
    </w:p>
    <w:p w:rsidR="003C3656" w:rsidRDefault="00AD1FDA">
      <w:pPr>
        <w:ind w:left="-13" w:right="220" w:firstLine="0"/>
      </w:pPr>
      <w:r>
        <w:t xml:space="preserve">        Нам не відомо про будь-які фактичні або підозрювані інциденти, і жодні інші питання не були виявлені під час проведення нами аудиторських процедур. На нашу думку була досягнута висока результативність аудиту в частині виявлення порушень, зокрема пов’язаних із шахрайством </w:t>
      </w:r>
    </w:p>
    <w:p w:rsidR="003C3656" w:rsidRDefault="003C3656">
      <w:pPr>
        <w:spacing w:after="19" w:line="259" w:lineRule="auto"/>
        <w:ind w:right="0" w:firstLine="0"/>
        <w:jc w:val="left"/>
      </w:pPr>
    </w:p>
    <w:p w:rsidR="003C3656" w:rsidRDefault="00AD1FDA">
      <w:pPr>
        <w:pStyle w:val="3"/>
        <w:ind w:left="1" w:right="218" w:firstLine="566"/>
      </w:pPr>
      <w:r>
        <w:t xml:space="preserve">Незалежність Ключового партнера та членів групи з аудиту та ТОВ «АФ «Столиця-Аудит» </w:t>
      </w:r>
    </w:p>
    <w:p w:rsidR="003C3656" w:rsidRDefault="00AD1FDA">
      <w:pPr>
        <w:ind w:left="-13" w:right="220"/>
      </w:pPr>
      <w:r>
        <w:t xml:space="preserve">Ключовий партнер з аудиту та всі співробітники, які включені до Аудиторської групи, для проведення аудиту підприємства підтвердили, що вони є незалежними у відповідності до етичних вимог Кодексу Етики Міжнародної Федерації Бухгалтерів. Ми також вважаємо, що наша аудиторська компанія є також незалежною по відношенню до підприємства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 </w:t>
      </w:r>
    </w:p>
    <w:p w:rsidR="003C3656" w:rsidRDefault="00AD1FDA">
      <w:pPr>
        <w:ind w:left="-13" w:right="220"/>
      </w:pPr>
      <w:r>
        <w:t xml:space="preserve"> Під час проведення аудиту нами не було встановлено жодних фактів або питань, на які ми б хотіли звернути Вашу увагу, і ми підтверджуємо, що ключовий партнер з аудиту  є незалежними від Клієнта та здатний висловити об’єктивну думку про те, чи складена фінансова звітність у всіх суттєвих аспектах відповідно до застосовної концептуальної основи фінансового звітування. </w:t>
      </w:r>
    </w:p>
    <w:p w:rsidR="003C3656" w:rsidRDefault="003C3656">
      <w:pPr>
        <w:spacing w:after="19" w:line="259" w:lineRule="auto"/>
        <w:ind w:right="0" w:firstLine="0"/>
        <w:jc w:val="left"/>
      </w:pPr>
    </w:p>
    <w:p w:rsidR="003C3656" w:rsidRDefault="00AD1FDA">
      <w:pPr>
        <w:pStyle w:val="3"/>
        <w:ind w:left="563" w:right="218"/>
      </w:pPr>
      <w:r>
        <w:t xml:space="preserve">Ненадання послуг, заборонених законодавством </w:t>
      </w:r>
    </w:p>
    <w:p w:rsidR="003C3656" w:rsidRDefault="00AD1FDA">
      <w:pPr>
        <w:ind w:left="-13" w:right="220" w:firstLine="0"/>
      </w:pPr>
      <w:r>
        <w:t xml:space="preserve">ТОВ «АФ «Столиця-Аудит» здійснює свою діяльність у відповідності до вимог Закону, з дотриманням інших нормативно-правових актів з питань аудиту та професійних стандартів аудиту, політика та процедури ТОВ «АФ «Столиця-Аудит»»  унеможливлюють надання послуг заборонених законодавством України. </w:t>
      </w:r>
    </w:p>
    <w:p w:rsidR="003C3656" w:rsidRDefault="003C3656">
      <w:pPr>
        <w:spacing w:after="0" w:line="259" w:lineRule="auto"/>
        <w:ind w:left="2" w:right="0" w:firstLine="0"/>
        <w:jc w:val="left"/>
      </w:pPr>
    </w:p>
    <w:p w:rsidR="006A4110" w:rsidRDefault="006A4110">
      <w:pPr>
        <w:pStyle w:val="3"/>
        <w:ind w:left="563" w:right="218"/>
      </w:pPr>
    </w:p>
    <w:p w:rsidR="003C3656" w:rsidRDefault="00AD1FDA">
      <w:pPr>
        <w:pStyle w:val="3"/>
        <w:ind w:left="563" w:right="218"/>
      </w:pPr>
      <w:r>
        <w:t xml:space="preserve">Залучення до проведення аудиту інших фахівців  </w:t>
      </w:r>
    </w:p>
    <w:p w:rsidR="003C3656" w:rsidRDefault="00AD1FDA">
      <w:pPr>
        <w:ind w:left="-13" w:right="220" w:firstLine="0"/>
      </w:pPr>
      <w:r>
        <w:t xml:space="preserve">Ми не залучати до проведення аудиту підприємства інших фахівців, у т. ч. </w:t>
      </w:r>
    </w:p>
    <w:p w:rsidR="003C3656" w:rsidRDefault="00AD1FDA">
      <w:pPr>
        <w:ind w:left="-13" w:right="220" w:firstLine="0"/>
      </w:pPr>
      <w:r>
        <w:t xml:space="preserve">суб’єктів аудиторської діяльності. </w:t>
      </w:r>
    </w:p>
    <w:p w:rsidR="003C3656" w:rsidRDefault="003C3656">
      <w:pPr>
        <w:spacing w:after="0" w:line="259" w:lineRule="auto"/>
        <w:ind w:right="0" w:firstLine="0"/>
        <w:jc w:val="left"/>
      </w:pPr>
    </w:p>
    <w:p w:rsidR="008E3E78" w:rsidRDefault="008E3E78">
      <w:pPr>
        <w:spacing w:after="13"/>
        <w:ind w:right="218" w:firstLine="566"/>
        <w:rPr>
          <w:b/>
          <w:i/>
        </w:rPr>
      </w:pPr>
    </w:p>
    <w:p w:rsidR="008E3E78" w:rsidRDefault="008E3E78">
      <w:pPr>
        <w:spacing w:after="13"/>
        <w:ind w:right="218" w:firstLine="566"/>
        <w:rPr>
          <w:b/>
          <w:i/>
        </w:rPr>
      </w:pPr>
    </w:p>
    <w:p w:rsidR="005F2F91" w:rsidRDefault="005F2F91">
      <w:pPr>
        <w:spacing w:after="13"/>
        <w:ind w:right="218" w:firstLine="566"/>
        <w:rPr>
          <w:b/>
          <w:i/>
        </w:rPr>
      </w:pPr>
    </w:p>
    <w:p w:rsidR="005F2F91" w:rsidRDefault="005F2F91">
      <w:pPr>
        <w:spacing w:after="13"/>
        <w:ind w:right="218" w:firstLine="566"/>
        <w:rPr>
          <w:b/>
          <w:i/>
        </w:rPr>
      </w:pPr>
    </w:p>
    <w:p w:rsidR="005F2F91" w:rsidRDefault="005F2F91">
      <w:pPr>
        <w:spacing w:after="13"/>
        <w:ind w:right="218" w:firstLine="566"/>
        <w:rPr>
          <w:b/>
          <w:i/>
        </w:rPr>
      </w:pPr>
    </w:p>
    <w:p w:rsidR="005F2F91" w:rsidRDefault="005F2F91">
      <w:pPr>
        <w:spacing w:after="13"/>
        <w:ind w:right="218" w:firstLine="566"/>
        <w:rPr>
          <w:b/>
          <w:i/>
        </w:rPr>
      </w:pPr>
      <w:bookmarkStart w:id="3" w:name="_GoBack"/>
      <w:bookmarkEnd w:id="3"/>
    </w:p>
    <w:p w:rsidR="003C3656" w:rsidRDefault="00AD1FDA">
      <w:pPr>
        <w:spacing w:after="13"/>
        <w:ind w:right="218" w:firstLine="566"/>
      </w:pPr>
      <w:r>
        <w:rPr>
          <w:b/>
          <w:i/>
        </w:rPr>
        <w:lastRenderedPageBreak/>
        <w:t xml:space="preserve">Інформація про інші надані аудитором або суб’єктом аудиторської діяльності юридичній особі або контрольованим нею суб’єктам господарювання послуги, крім послуг з обов’язкового аудиту, що не розкрита у звіті про управління або у фінансовій звітності. </w:t>
      </w:r>
    </w:p>
    <w:p w:rsidR="003C3656" w:rsidRDefault="00AD1FDA">
      <w:pPr>
        <w:ind w:left="-13" w:right="220" w:firstLine="0"/>
      </w:pPr>
      <w:r>
        <w:t xml:space="preserve">Аудитор або ТОВ «АФ «Столиця-Аудит»» не надавали інші послуги підприємству або контрольованим ним суб’єктам господарювання, крім послуг з обов’язкового аудиту або огляду фінансової звітності. </w:t>
      </w:r>
    </w:p>
    <w:p w:rsidR="003C3656" w:rsidRDefault="003C3656">
      <w:pPr>
        <w:spacing w:after="0" w:line="259" w:lineRule="auto"/>
        <w:ind w:right="0" w:firstLine="0"/>
        <w:jc w:val="left"/>
      </w:pPr>
    </w:p>
    <w:p w:rsidR="003C3656" w:rsidRDefault="00AD1FDA">
      <w:pPr>
        <w:pStyle w:val="3"/>
        <w:ind w:left="563" w:right="218"/>
      </w:pPr>
      <w:r>
        <w:t xml:space="preserve">Пояснення щодо обсягу аудиту та властивих для аудиту обмежень </w:t>
      </w:r>
    </w:p>
    <w:p w:rsidR="003C3656" w:rsidRDefault="00AD1FDA">
      <w:pPr>
        <w:ind w:left="-13" w:right="220" w:firstLine="0"/>
      </w:pPr>
      <w:r>
        <w:t xml:space="preserve">Питання, які викладені у цьому звіті розглядалися лише в межах проведення аудиторської перевірки підприємства за 2018 рік на основі вибіркового тестування та у обсягах, необхідних для планування та проведення аудиторських процедур відповідно до вимог професійних стандартів. </w:t>
      </w:r>
    </w:p>
    <w:p w:rsidR="003C3656" w:rsidRDefault="00AD1FDA">
      <w:pPr>
        <w:ind w:left="-13" w:right="220" w:firstLine="0"/>
      </w:pPr>
      <w:r>
        <w:t xml:space="preserve"> Ми несемо відповідальність за формування та висловлення думки про фінансову звітність, яка підготовлена керівництвом під наглядом тих, кого наділено найвищими повноваженнями. Наш аудит фінансової звітності не звільняє керівництво або тих, кого наділено найвищими повноваженнями, від їх обов’язків. Ми несемо відповідальність за проведення аудиту відповідно до МСА. Аудит передбачає отримання обґрунтованої, а не абсолютної, впевненості у тому, що фінансова звітність не містить суттєвих викривлень.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таке існує. Аудит включає в себе розгляд системи внутрішнього контролю за підготовкою фінансової звітності в якості основи для розробки відповідних аудиторських процедур, але не з метою висловлення думки щодо ефективності системи внутрішнього контролю за підготовкою фінансової </w:t>
      </w:r>
      <w:proofErr w:type="spellStart"/>
      <w:r>
        <w:t>звітності.Ми</w:t>
      </w:r>
      <w:proofErr w:type="spellEnd"/>
      <w:r>
        <w:t xml:space="preserve"> несемо відповідальність за запобігання недотриманню вимог і не можна очікувати, що аудитор виявить недотримання всіх законів та нормативних актів. </w:t>
      </w:r>
    </w:p>
    <w:p w:rsidR="003C3656" w:rsidRDefault="003C3656">
      <w:pPr>
        <w:spacing w:after="0" w:line="259" w:lineRule="auto"/>
        <w:ind w:right="0" w:firstLine="0"/>
        <w:jc w:val="left"/>
      </w:pPr>
    </w:p>
    <w:p w:rsidR="003C3656" w:rsidRDefault="003C3656">
      <w:pPr>
        <w:spacing w:after="0" w:line="259" w:lineRule="auto"/>
        <w:ind w:right="0" w:firstLine="0"/>
        <w:jc w:val="left"/>
      </w:pPr>
    </w:p>
    <w:p w:rsidR="003C3656" w:rsidRDefault="003C3656">
      <w:pPr>
        <w:spacing w:after="0" w:line="259" w:lineRule="auto"/>
        <w:ind w:right="0" w:firstLine="0"/>
        <w:jc w:val="left"/>
      </w:pPr>
    </w:p>
    <w:p w:rsidR="003C3656" w:rsidRDefault="003C3656">
      <w:pPr>
        <w:spacing w:after="0" w:line="259" w:lineRule="auto"/>
        <w:ind w:right="0" w:firstLine="0"/>
        <w:jc w:val="left"/>
      </w:pPr>
    </w:p>
    <w:p w:rsidR="003C3656" w:rsidRDefault="003C3656">
      <w:pPr>
        <w:spacing w:after="0" w:line="259" w:lineRule="auto"/>
        <w:ind w:right="0" w:firstLine="0"/>
        <w:jc w:val="left"/>
      </w:pPr>
    </w:p>
    <w:p w:rsidR="003C3656" w:rsidRDefault="003C3656">
      <w:pPr>
        <w:spacing w:after="0" w:line="259" w:lineRule="auto"/>
        <w:ind w:right="0" w:firstLine="0"/>
        <w:jc w:val="left"/>
      </w:pPr>
    </w:p>
    <w:p w:rsidR="003C3656" w:rsidRDefault="003C3656">
      <w:pPr>
        <w:spacing w:after="0" w:line="259" w:lineRule="auto"/>
        <w:ind w:right="0" w:firstLine="0"/>
        <w:jc w:val="left"/>
      </w:pPr>
    </w:p>
    <w:p w:rsidR="003C3656" w:rsidRDefault="003C3656">
      <w:pPr>
        <w:spacing w:after="0" w:line="259" w:lineRule="auto"/>
        <w:ind w:right="0" w:firstLine="0"/>
        <w:jc w:val="left"/>
      </w:pPr>
    </w:p>
    <w:p w:rsidR="003C3656" w:rsidRDefault="003C3656">
      <w:pPr>
        <w:spacing w:after="0" w:line="259" w:lineRule="auto"/>
        <w:ind w:right="0" w:firstLine="0"/>
        <w:jc w:val="left"/>
      </w:pPr>
    </w:p>
    <w:p w:rsidR="003C3656" w:rsidRDefault="003C3656">
      <w:pPr>
        <w:spacing w:after="0" w:line="259" w:lineRule="auto"/>
        <w:ind w:right="0" w:firstLine="0"/>
        <w:jc w:val="left"/>
      </w:pPr>
    </w:p>
    <w:p w:rsidR="003C3656" w:rsidRDefault="003C3656">
      <w:pPr>
        <w:spacing w:after="0" w:line="259" w:lineRule="auto"/>
        <w:ind w:right="0" w:firstLine="0"/>
        <w:jc w:val="left"/>
      </w:pPr>
    </w:p>
    <w:p w:rsidR="003C3656" w:rsidRDefault="003C3656">
      <w:pPr>
        <w:spacing w:after="0" w:line="259" w:lineRule="auto"/>
        <w:ind w:right="0" w:firstLine="0"/>
        <w:jc w:val="left"/>
      </w:pPr>
    </w:p>
    <w:p w:rsidR="008E3E78" w:rsidRDefault="008E3E78">
      <w:pPr>
        <w:spacing w:after="0" w:line="259" w:lineRule="auto"/>
        <w:ind w:right="0" w:firstLine="0"/>
        <w:jc w:val="left"/>
      </w:pPr>
    </w:p>
    <w:p w:rsidR="008E3E78" w:rsidRDefault="008E3E78">
      <w:pPr>
        <w:spacing w:after="0" w:line="259" w:lineRule="auto"/>
        <w:ind w:right="0" w:firstLine="0"/>
        <w:jc w:val="left"/>
      </w:pPr>
    </w:p>
    <w:p w:rsidR="008E3E78" w:rsidRDefault="008E3E78">
      <w:pPr>
        <w:spacing w:after="0" w:line="259" w:lineRule="auto"/>
        <w:ind w:right="0" w:firstLine="0"/>
        <w:jc w:val="left"/>
      </w:pPr>
    </w:p>
    <w:p w:rsidR="008E3E78" w:rsidRDefault="008E3E78">
      <w:pPr>
        <w:spacing w:after="0" w:line="259" w:lineRule="auto"/>
        <w:ind w:right="0" w:firstLine="0"/>
        <w:jc w:val="left"/>
      </w:pPr>
    </w:p>
    <w:p w:rsidR="008E3E78" w:rsidRDefault="008E3E78">
      <w:pPr>
        <w:spacing w:after="0" w:line="259" w:lineRule="auto"/>
        <w:ind w:right="0" w:firstLine="0"/>
        <w:jc w:val="left"/>
      </w:pPr>
    </w:p>
    <w:p w:rsidR="008E3E78" w:rsidRDefault="008E3E78">
      <w:pPr>
        <w:spacing w:after="0" w:line="259" w:lineRule="auto"/>
        <w:ind w:right="0" w:firstLine="0"/>
        <w:jc w:val="left"/>
      </w:pPr>
    </w:p>
    <w:p w:rsidR="008E3E78" w:rsidRDefault="008E3E78">
      <w:pPr>
        <w:spacing w:after="0" w:line="259" w:lineRule="auto"/>
        <w:ind w:right="0" w:firstLine="0"/>
        <w:jc w:val="left"/>
      </w:pPr>
      <w:r w:rsidRPr="008E3E78">
        <w:rPr>
          <w:noProof/>
        </w:rPr>
        <w:lastRenderedPageBreak/>
        <w:drawing>
          <wp:inline distT="0" distB="0" distL="0" distR="0">
            <wp:extent cx="6645910" cy="9397606"/>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9397606"/>
                    </a:xfrm>
                    <a:prstGeom prst="rect">
                      <a:avLst/>
                    </a:prstGeom>
                    <a:noFill/>
                    <a:ln>
                      <a:noFill/>
                    </a:ln>
                  </pic:spPr>
                </pic:pic>
              </a:graphicData>
            </a:graphic>
          </wp:inline>
        </w:drawing>
      </w:r>
    </w:p>
    <w:sectPr w:rsidR="008E3E78" w:rsidSect="008E3E78">
      <w:pgSz w:w="11906" w:h="16838"/>
      <w:pgMar w:top="720" w:right="720" w:bottom="720" w:left="72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8B9" w:rsidRDefault="005C78B9">
      <w:pPr>
        <w:spacing w:after="0" w:line="240" w:lineRule="auto"/>
      </w:pPr>
      <w:r>
        <w:separator/>
      </w:r>
    </w:p>
  </w:endnote>
  <w:endnote w:type="continuationSeparator" w:id="0">
    <w:p w:rsidR="005C78B9" w:rsidRDefault="005C7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8B9" w:rsidRDefault="005C78B9">
      <w:pPr>
        <w:spacing w:after="0" w:line="240" w:lineRule="auto"/>
      </w:pPr>
      <w:r>
        <w:separator/>
      </w:r>
    </w:p>
  </w:footnote>
  <w:footnote w:type="continuationSeparator" w:id="0">
    <w:p w:rsidR="005C78B9" w:rsidRDefault="005C7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3360D"/>
    <w:multiLevelType w:val="multilevel"/>
    <w:tmpl w:val="9B9661B0"/>
    <w:lvl w:ilvl="0">
      <w:start w:val="1"/>
      <w:numFmt w:val="decimal"/>
      <w:lvlText w:val="%1."/>
      <w:lvlJc w:val="left"/>
      <w:pPr>
        <w:ind w:left="789" w:hanging="358"/>
      </w:pPr>
      <w:rPr>
        <w:color w:val="333333"/>
      </w:r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1" w15:restartNumberingAfterBreak="0">
    <w:nsid w:val="7B46048A"/>
    <w:multiLevelType w:val="multilevel"/>
    <w:tmpl w:val="B15E09E6"/>
    <w:lvl w:ilvl="0">
      <w:start w:val="1"/>
      <w:numFmt w:val="bullet"/>
      <w:lvlText w:val="-"/>
      <w:lvlJc w:val="left"/>
      <w:pPr>
        <w:ind w:left="812" w:hanging="812"/>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531" w:hanging="1531"/>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bullet"/>
      <w:lvlText w:val="▪"/>
      <w:lvlJc w:val="left"/>
      <w:pPr>
        <w:ind w:left="2251" w:hanging="2251"/>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bullet"/>
      <w:lvlText w:val="•"/>
      <w:lvlJc w:val="left"/>
      <w:pPr>
        <w:ind w:left="2971" w:hanging="2971"/>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bullet"/>
      <w:lvlText w:val="o"/>
      <w:lvlJc w:val="left"/>
      <w:pPr>
        <w:ind w:left="3691" w:hanging="3691"/>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bullet"/>
      <w:lvlText w:val="▪"/>
      <w:lvlJc w:val="left"/>
      <w:pPr>
        <w:ind w:left="4411" w:hanging="4411"/>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bullet"/>
      <w:lvlText w:val="•"/>
      <w:lvlJc w:val="left"/>
      <w:pPr>
        <w:ind w:left="5131" w:hanging="5131"/>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bullet"/>
      <w:lvlText w:val="o"/>
      <w:lvlJc w:val="left"/>
      <w:pPr>
        <w:ind w:left="5851" w:hanging="5851"/>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bullet"/>
      <w:lvlText w:val="▪"/>
      <w:lvlJc w:val="left"/>
      <w:pPr>
        <w:ind w:left="6571" w:hanging="6571"/>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2" w15:restartNumberingAfterBreak="0">
    <w:nsid w:val="7C144C32"/>
    <w:multiLevelType w:val="multilevel"/>
    <w:tmpl w:val="E1F04FC4"/>
    <w:lvl w:ilvl="0">
      <w:start w:val="1"/>
      <w:numFmt w:val="bullet"/>
      <w:lvlText w:val="•"/>
      <w:lvlJc w:val="left"/>
      <w:pPr>
        <w:ind w:left="0" w:firstLine="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647" w:hanging="1647"/>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bullet"/>
      <w:lvlText w:val="▪"/>
      <w:lvlJc w:val="left"/>
      <w:pPr>
        <w:ind w:left="2367" w:hanging="2367"/>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bullet"/>
      <w:lvlText w:val="•"/>
      <w:lvlJc w:val="left"/>
      <w:pPr>
        <w:ind w:left="3087" w:hanging="3087"/>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bullet"/>
      <w:lvlText w:val="o"/>
      <w:lvlJc w:val="left"/>
      <w:pPr>
        <w:ind w:left="3807" w:hanging="3807"/>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bullet"/>
      <w:lvlText w:val="▪"/>
      <w:lvlJc w:val="left"/>
      <w:pPr>
        <w:ind w:left="4527" w:hanging="4527"/>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bullet"/>
      <w:lvlText w:val="•"/>
      <w:lvlJc w:val="left"/>
      <w:pPr>
        <w:ind w:left="5247" w:hanging="5247"/>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bullet"/>
      <w:lvlText w:val="o"/>
      <w:lvlJc w:val="left"/>
      <w:pPr>
        <w:ind w:left="5967" w:hanging="5967"/>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bullet"/>
      <w:lvlText w:val="▪"/>
      <w:lvlJc w:val="left"/>
      <w:pPr>
        <w:ind w:left="6687" w:hanging="6687"/>
      </w:pPr>
      <w:rPr>
        <w:rFonts w:ascii="Times New Roman" w:eastAsia="Times New Roman" w:hAnsi="Times New Roman" w:cs="Times New Roman"/>
        <w:b w:val="0"/>
        <w:i w:val="0"/>
        <w:strike w:val="0"/>
        <w:color w:val="000000"/>
        <w:sz w:val="28"/>
        <w:szCs w:val="28"/>
        <w:u w:val="none"/>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656"/>
    <w:rsid w:val="003C3656"/>
    <w:rsid w:val="005C78B9"/>
    <w:rsid w:val="005F2F91"/>
    <w:rsid w:val="006A4110"/>
    <w:rsid w:val="008E3E78"/>
    <w:rsid w:val="00AD1F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60813-BADA-4D27-B9D2-33AECE39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uk-UA" w:eastAsia="uk-UA" w:bidi="ar-SA"/>
      </w:rPr>
    </w:rPrDefault>
    <w:pPrDefault>
      <w:pPr>
        <w:spacing w:after="3" w:line="248" w:lineRule="auto"/>
        <w:ind w:left="1" w:right="232" w:firstLine="5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after="0" w:line="259" w:lineRule="auto"/>
      <w:ind w:left="186" w:right="0" w:hanging="186"/>
      <w:jc w:val="left"/>
      <w:outlineLvl w:val="0"/>
    </w:pPr>
    <w:rPr>
      <w:b/>
      <w:color w:val="385623"/>
      <w:sz w:val="52"/>
      <w:szCs w:val="52"/>
      <w:shd w:val="clear" w:color="auto" w:fill="FFE599"/>
    </w:rPr>
  </w:style>
  <w:style w:type="paragraph" w:styleId="2">
    <w:name w:val="heading 2"/>
    <w:basedOn w:val="a"/>
    <w:next w:val="a"/>
    <w:pPr>
      <w:keepNext/>
      <w:keepLines/>
      <w:pBdr>
        <w:top w:val="nil"/>
        <w:left w:val="nil"/>
        <w:bottom w:val="nil"/>
        <w:right w:val="nil"/>
        <w:between w:val="nil"/>
      </w:pBdr>
      <w:shd w:val="clear" w:color="auto" w:fill="FFE599"/>
      <w:spacing w:after="0" w:line="259" w:lineRule="auto"/>
      <w:ind w:left="11" w:right="0" w:hanging="10"/>
      <w:jc w:val="left"/>
      <w:outlineLvl w:val="1"/>
    </w:pPr>
    <w:rPr>
      <w:b/>
      <w:i/>
      <w:color w:val="385623"/>
    </w:rPr>
  </w:style>
  <w:style w:type="paragraph" w:styleId="3">
    <w:name w:val="heading 3"/>
    <w:basedOn w:val="a"/>
    <w:next w:val="a"/>
    <w:pPr>
      <w:keepNext/>
      <w:keepLines/>
      <w:pBdr>
        <w:top w:val="nil"/>
        <w:left w:val="nil"/>
        <w:bottom w:val="nil"/>
        <w:right w:val="nil"/>
        <w:between w:val="nil"/>
      </w:pBdr>
      <w:spacing w:after="13"/>
      <w:ind w:left="11" w:hanging="10"/>
      <w:outlineLvl w:val="2"/>
    </w:pPr>
    <w:rPr>
      <w:b/>
      <w:i/>
      <w:color w:val="000000"/>
    </w:rPr>
  </w:style>
  <w:style w:type="paragraph" w:styleId="4">
    <w:name w:val="heading 4"/>
    <w:basedOn w:val="a"/>
    <w:next w:val="a"/>
    <w:pPr>
      <w:keepNext/>
      <w:keepLines/>
      <w:spacing w:before="40" w:after="0"/>
      <w:outlineLvl w:val="3"/>
    </w:pPr>
    <w:rPr>
      <w:rFonts w:ascii="Calibri" w:eastAsia="Calibri" w:hAnsi="Calibri" w:cs="Calibri"/>
      <w:i/>
      <w:color w:val="2E75B5"/>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51" w:type="dxa"/>
        <w:left w:w="107" w:type="dxa"/>
        <w:right w:w="51" w:type="dxa"/>
      </w:tblCellMar>
    </w:tblPr>
  </w:style>
  <w:style w:type="table" w:customStyle="1" w:styleId="a6">
    <w:basedOn w:val="TableNormal"/>
    <w:pPr>
      <w:spacing w:after="0" w:line="240" w:lineRule="auto"/>
    </w:pPr>
    <w:tblPr>
      <w:tblStyleRowBandSize w:val="1"/>
      <w:tblStyleColBandSize w:val="1"/>
      <w:tblCellMar>
        <w:top w:w="51" w:type="dxa"/>
        <w:left w:w="107" w:type="dxa"/>
        <w:right w:w="51"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paragraph" w:styleId="a8">
    <w:name w:val="Balloon Text"/>
    <w:basedOn w:val="a"/>
    <w:link w:val="a9"/>
    <w:uiPriority w:val="99"/>
    <w:semiHidden/>
    <w:unhideWhenUsed/>
    <w:rsid w:val="006A4110"/>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A41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udit@capital-audit.com.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yperlink" Target="http://zakon0.rada.gov.ua/laws/show/z0284-97" TargetMode="External"/><Relationship Id="rId4" Type="http://schemas.openxmlformats.org/officeDocument/2006/relationships/webSettings" Target="webSettings.xml"/><Relationship Id="rId9" Type="http://schemas.openxmlformats.org/officeDocument/2006/relationships/hyperlink" Target="https://interbuh.com.ua/ua/documents/oneregulations/742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17977</Words>
  <Characters>10248</Characters>
  <Application>Microsoft Office Word</Application>
  <DocSecurity>0</DocSecurity>
  <Lines>85</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AdminZ001</cp:lastModifiedBy>
  <cp:revision>4</cp:revision>
  <cp:lastPrinted>2019-06-17T09:47:00Z</cp:lastPrinted>
  <dcterms:created xsi:type="dcterms:W3CDTF">2019-06-17T09:39:00Z</dcterms:created>
  <dcterms:modified xsi:type="dcterms:W3CDTF">2019-06-17T10:01:00Z</dcterms:modified>
</cp:coreProperties>
</file>