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BE" w:rsidRDefault="006A1E48">
      <w:pPr>
        <w:spacing w:after="0" w:line="240" w:lineRule="auto"/>
        <w:jc w:val="center"/>
        <w:rPr>
          <w:b/>
          <w:sz w:val="32"/>
          <w:szCs w:val="32"/>
        </w:rPr>
      </w:pPr>
      <w:r>
        <w:rPr>
          <w:b/>
          <w:sz w:val="32"/>
          <w:szCs w:val="32"/>
        </w:rPr>
        <w:t>ТОВАРИСТВО З ОБМЕЖЕНОЮ ВІДПОВІДАЛЬНІСТЮ "АУДИТОРСЬКА ФІРМА "СТОЛИЦЯ-АУДИТ""</w:t>
      </w:r>
    </w:p>
    <w:p w:rsidR="00F54CBE" w:rsidRDefault="006A1E48">
      <w:pPr>
        <w:spacing w:after="0" w:line="240" w:lineRule="auto"/>
        <w:jc w:val="center"/>
        <w:rPr>
          <w:b/>
          <w:sz w:val="32"/>
          <w:szCs w:val="32"/>
        </w:rPr>
      </w:pPr>
      <w:r>
        <w:rPr>
          <w:b/>
          <w:sz w:val="20"/>
          <w:szCs w:val="20"/>
        </w:rPr>
        <w:t>ЄДРПОУ 33146727</w:t>
      </w:r>
    </w:p>
    <w:p w:rsidR="00F54CBE" w:rsidRDefault="006A1E48">
      <w:pPr>
        <w:spacing w:after="0" w:line="240" w:lineRule="auto"/>
        <w:jc w:val="center"/>
        <w:rPr>
          <w:sz w:val="20"/>
          <w:szCs w:val="20"/>
        </w:rPr>
      </w:pPr>
      <w:r>
        <w:rPr>
          <w:sz w:val="20"/>
          <w:szCs w:val="20"/>
        </w:rPr>
        <w:t xml:space="preserve">01015, </w:t>
      </w:r>
      <w:proofErr w:type="spellStart"/>
      <w:r>
        <w:rPr>
          <w:sz w:val="20"/>
          <w:szCs w:val="20"/>
        </w:rPr>
        <w:t>м.Київ</w:t>
      </w:r>
      <w:proofErr w:type="spellEnd"/>
      <w:r>
        <w:rPr>
          <w:sz w:val="20"/>
          <w:szCs w:val="20"/>
        </w:rPr>
        <w:t>, ВУЛИЦЯ ДОБРОВОЛЬЧИХ БАТАЛЬЙОНІВ, будинок 3</w:t>
      </w:r>
    </w:p>
    <w:p w:rsidR="00F54CBE" w:rsidRDefault="006A1E48">
      <w:pPr>
        <w:spacing w:after="0" w:line="240" w:lineRule="auto"/>
        <w:jc w:val="center"/>
        <w:rPr>
          <w:sz w:val="20"/>
          <w:szCs w:val="20"/>
        </w:rPr>
      </w:pPr>
      <w:proofErr w:type="spellStart"/>
      <w:r>
        <w:rPr>
          <w:sz w:val="20"/>
          <w:szCs w:val="20"/>
        </w:rPr>
        <w:t>Тел</w:t>
      </w:r>
      <w:proofErr w:type="spellEnd"/>
      <w:r>
        <w:rPr>
          <w:sz w:val="20"/>
          <w:szCs w:val="20"/>
        </w:rPr>
        <w:t xml:space="preserve">. (050) 372 13 47, </w:t>
      </w:r>
      <w:hyperlink r:id="rId7">
        <w:r>
          <w:rPr>
            <w:color w:val="0000FF"/>
            <w:sz w:val="20"/>
            <w:szCs w:val="20"/>
            <w:u w:val="single"/>
          </w:rPr>
          <w:t>audit@capital-audit.com.ua</w:t>
        </w:r>
      </w:hyperlink>
    </w:p>
    <w:p w:rsidR="00F54CBE" w:rsidRDefault="006A1E48">
      <w:pPr>
        <w:spacing w:after="0" w:line="240" w:lineRule="auto"/>
        <w:jc w:val="center"/>
        <w:rPr>
          <w:i/>
          <w:sz w:val="20"/>
          <w:szCs w:val="20"/>
        </w:rPr>
      </w:pPr>
      <w:r>
        <w:rPr>
          <w:i/>
          <w:sz w:val="20"/>
          <w:szCs w:val="20"/>
        </w:rPr>
        <w:t>Свідоцтво про включення до Реєстру аудиторських фірм та аудиторів № 3484</w:t>
      </w:r>
    </w:p>
    <w:p w:rsidR="00F54CBE" w:rsidRDefault="006A1E48">
      <w:pPr>
        <w:spacing w:after="0"/>
        <w:jc w:val="center"/>
        <w:rPr>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1" name="Прямая со стрелкой 1"/>
                <wp:cNvGraphicFramePr/>
                <a:graphic xmlns:a="http://schemas.openxmlformats.org/drawingml/2006/main">
                  <a:graphicData uri="http://schemas.microsoft.com/office/word/2010/wordprocessingShape">
                    <wps:wsp>
                      <wps:cNvCnPr/>
                      <wps:spPr>
                        <a:xfrm>
                          <a:off x="5350445" y="3881600"/>
                          <a:ext cx="601027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F54CBE" w:rsidRDefault="00F54CBE">
      <w:pPr>
        <w:spacing w:after="0"/>
        <w:jc w:val="center"/>
        <w:rPr>
          <w:sz w:val="18"/>
          <w:szCs w:val="18"/>
        </w:rPr>
      </w:pPr>
    </w:p>
    <w:p w:rsidR="00F54CBE" w:rsidRDefault="00F54CBE">
      <w:pPr>
        <w:spacing w:after="0" w:line="259" w:lineRule="auto"/>
        <w:ind w:left="3827" w:right="0" w:firstLine="0"/>
        <w:jc w:val="left"/>
      </w:pPr>
    </w:p>
    <w:p w:rsidR="00F54CBE" w:rsidRDefault="00F54CBE">
      <w:pPr>
        <w:spacing w:after="0" w:line="259" w:lineRule="auto"/>
        <w:ind w:right="0" w:firstLine="0"/>
        <w:jc w:val="left"/>
      </w:pPr>
    </w:p>
    <w:p w:rsidR="00F54CBE" w:rsidRDefault="00F54CBE">
      <w:pPr>
        <w:spacing w:after="16" w:line="259" w:lineRule="auto"/>
        <w:ind w:right="0" w:firstLine="0"/>
        <w:jc w:val="left"/>
      </w:pPr>
    </w:p>
    <w:p w:rsidR="00F54CBE" w:rsidRDefault="00F54CBE">
      <w:pPr>
        <w:spacing w:after="0" w:line="259" w:lineRule="auto"/>
        <w:ind w:right="0" w:firstLine="0"/>
        <w:jc w:val="left"/>
      </w:pPr>
    </w:p>
    <w:p w:rsidR="00F54CBE" w:rsidRDefault="00F54CBE">
      <w:pPr>
        <w:spacing w:after="0" w:line="259" w:lineRule="auto"/>
        <w:ind w:right="0" w:firstLine="0"/>
        <w:jc w:val="left"/>
      </w:pPr>
    </w:p>
    <w:p w:rsidR="00F54CBE" w:rsidRDefault="00F54CBE">
      <w:pPr>
        <w:spacing w:after="0" w:line="259" w:lineRule="auto"/>
        <w:ind w:right="0" w:firstLine="0"/>
        <w:jc w:val="left"/>
      </w:pPr>
    </w:p>
    <w:p w:rsidR="00F54CBE" w:rsidRDefault="00F54CBE">
      <w:pPr>
        <w:spacing w:after="0" w:line="259" w:lineRule="auto"/>
        <w:ind w:right="0" w:firstLine="0"/>
        <w:jc w:val="left"/>
      </w:pPr>
    </w:p>
    <w:p w:rsidR="00F54CBE" w:rsidRDefault="00F54CBE">
      <w:pPr>
        <w:spacing w:after="0" w:line="259" w:lineRule="auto"/>
        <w:ind w:right="0" w:firstLine="0"/>
        <w:jc w:val="left"/>
      </w:pPr>
    </w:p>
    <w:p w:rsidR="00F54CBE" w:rsidRDefault="00F54CBE">
      <w:pPr>
        <w:spacing w:after="196" w:line="259" w:lineRule="auto"/>
        <w:ind w:right="0" w:firstLine="0"/>
        <w:jc w:val="left"/>
      </w:pPr>
    </w:p>
    <w:p w:rsidR="00F54CBE" w:rsidRDefault="00F54CBE">
      <w:pPr>
        <w:pStyle w:val="1"/>
      </w:pPr>
    </w:p>
    <w:p w:rsidR="00F54CBE" w:rsidRDefault="006A1E48" w:rsidP="004F6AB8">
      <w:pPr>
        <w:pBdr>
          <w:top w:val="nil"/>
          <w:left w:val="nil"/>
          <w:bottom w:val="nil"/>
          <w:right w:val="nil"/>
          <w:between w:val="nil"/>
        </w:pBdr>
        <w:spacing w:after="0" w:line="240" w:lineRule="auto"/>
        <w:jc w:val="center"/>
        <w:rPr>
          <w:color w:val="000000"/>
          <w:sz w:val="48"/>
          <w:szCs w:val="48"/>
        </w:rPr>
      </w:pPr>
      <w:r>
        <w:rPr>
          <w:color w:val="000000"/>
          <w:sz w:val="48"/>
          <w:szCs w:val="48"/>
        </w:rPr>
        <w:t>ЗВІТ НЕЗАЛЕЖНОГО АУДИТОРА</w:t>
      </w:r>
    </w:p>
    <w:p w:rsidR="00F54CBE" w:rsidRDefault="00F54CBE">
      <w:pPr>
        <w:spacing w:after="0" w:line="259" w:lineRule="auto"/>
        <w:ind w:left="0" w:right="153" w:firstLine="0"/>
        <w:jc w:val="center"/>
        <w:rPr>
          <w:color w:val="000000"/>
        </w:rP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F54CBE">
      <w:pPr>
        <w:spacing w:after="0" w:line="259" w:lineRule="auto"/>
        <w:ind w:left="0" w:right="153" w:firstLine="0"/>
        <w:jc w:val="center"/>
      </w:pPr>
    </w:p>
    <w:p w:rsidR="00F54CBE" w:rsidRDefault="006A1E48">
      <w:pPr>
        <w:pBdr>
          <w:top w:val="nil"/>
          <w:left w:val="nil"/>
          <w:bottom w:val="nil"/>
          <w:right w:val="nil"/>
          <w:between w:val="nil"/>
        </w:pBdr>
        <w:spacing w:after="0" w:line="240" w:lineRule="auto"/>
        <w:rPr>
          <w:color w:val="000000"/>
        </w:rPr>
      </w:pPr>
      <w:r>
        <w:rPr>
          <w:color w:val="000000"/>
        </w:rPr>
        <w:t xml:space="preserve">НАЛЕЖНИЙ АДРЕСАТ:  </w:t>
      </w:r>
    </w:p>
    <w:p w:rsidR="00F54CBE" w:rsidRDefault="006A1E48">
      <w:pPr>
        <w:spacing w:after="239"/>
        <w:ind w:left="11" w:right="218" w:hanging="10"/>
        <w:rPr>
          <w:sz w:val="32"/>
          <w:szCs w:val="32"/>
        </w:rPr>
      </w:pPr>
      <w:r>
        <w:rPr>
          <w:b/>
          <w:i/>
          <w:sz w:val="32"/>
          <w:szCs w:val="32"/>
        </w:rPr>
        <w:t>Керівництво</w:t>
      </w:r>
      <w:r w:rsidR="00F26ECD">
        <w:rPr>
          <w:b/>
          <w:i/>
          <w:sz w:val="32"/>
          <w:szCs w:val="32"/>
          <w:lang w:val="ru-RU"/>
        </w:rPr>
        <w:t xml:space="preserve"> </w:t>
      </w:r>
      <w:r>
        <w:rPr>
          <w:b/>
          <w:i/>
          <w:sz w:val="32"/>
          <w:szCs w:val="32"/>
        </w:rPr>
        <w:t xml:space="preserve">Комунального підприємства Чопської міської ради «Водоканал Чоп»  </w:t>
      </w:r>
    </w:p>
    <w:p w:rsidR="00F54CBE" w:rsidRDefault="00F54CBE">
      <w:pPr>
        <w:spacing w:after="0" w:line="259" w:lineRule="auto"/>
        <w:ind w:left="0" w:right="168" w:firstLine="0"/>
        <w:jc w:val="right"/>
      </w:pPr>
    </w:p>
    <w:p w:rsidR="00F54CBE" w:rsidRDefault="00F54CBE">
      <w:pPr>
        <w:spacing w:after="0" w:line="259" w:lineRule="auto"/>
        <w:ind w:right="0" w:firstLine="0"/>
        <w:jc w:val="left"/>
      </w:pPr>
    </w:p>
    <w:p w:rsidR="00F54CBE" w:rsidRDefault="00F54CBE">
      <w:pPr>
        <w:spacing w:after="0" w:line="259" w:lineRule="auto"/>
        <w:ind w:right="0" w:firstLine="0"/>
        <w:jc w:val="left"/>
      </w:pPr>
    </w:p>
    <w:p w:rsidR="00F54CBE" w:rsidRDefault="00F54CBE"/>
    <w:p w:rsidR="004F6AB8" w:rsidRDefault="004F6AB8"/>
    <w:p w:rsidR="004F6AB8" w:rsidRDefault="004F6AB8"/>
    <w:p w:rsidR="00F54CBE" w:rsidRPr="004F6AB8" w:rsidRDefault="006A1E48" w:rsidP="00116E10">
      <w:pPr>
        <w:jc w:val="center"/>
        <w:rPr>
          <w:b/>
        </w:rPr>
      </w:pPr>
      <w:r w:rsidRPr="004F6AB8">
        <w:rPr>
          <w:b/>
        </w:rPr>
        <w:lastRenderedPageBreak/>
        <w:t>ЗВІТ  ЩОДО  АУДИТУ ФІНАНСОВОЇ ЗВТНОСТІ</w:t>
      </w:r>
    </w:p>
    <w:p w:rsidR="00F54CBE" w:rsidRDefault="006A1E48">
      <w:pPr>
        <w:spacing w:after="239"/>
        <w:ind w:left="11" w:right="218" w:hanging="10"/>
      </w:pPr>
      <w:r>
        <w:rPr>
          <w:b/>
          <w:i/>
          <w:sz w:val="32"/>
          <w:szCs w:val="32"/>
        </w:rPr>
        <w:t>Комунального підприємства Чопської міської ради «Водоканал Чоп»</w:t>
      </w:r>
      <w:r w:rsidR="00116E10">
        <w:rPr>
          <w:b/>
          <w:i/>
          <w:sz w:val="32"/>
          <w:szCs w:val="32"/>
        </w:rPr>
        <w:t xml:space="preserve"> </w:t>
      </w:r>
      <w:r>
        <w:rPr>
          <w:b/>
          <w:i/>
          <w:sz w:val="32"/>
          <w:szCs w:val="32"/>
        </w:rPr>
        <w:t>станом на 31.12.2018 р. та за рік, що закінчується на вказану дату.</w:t>
      </w:r>
    </w:p>
    <w:p w:rsidR="00F54CBE" w:rsidRDefault="00F54CBE">
      <w:pPr>
        <w:spacing w:after="0" w:line="259" w:lineRule="auto"/>
        <w:ind w:right="0" w:firstLine="0"/>
        <w:jc w:val="left"/>
      </w:pPr>
    </w:p>
    <w:p w:rsidR="00F54CBE" w:rsidRDefault="00F54CBE">
      <w:pPr>
        <w:spacing w:after="0" w:line="259" w:lineRule="auto"/>
        <w:ind w:right="0" w:firstLine="0"/>
        <w:jc w:val="left"/>
      </w:pPr>
    </w:p>
    <w:p w:rsidR="00F54CBE" w:rsidRPr="004F6AB8" w:rsidRDefault="006A1E48" w:rsidP="00116E10">
      <w:pPr>
        <w:ind w:hanging="1"/>
        <w:rPr>
          <w:b/>
        </w:rPr>
      </w:pPr>
      <w:r w:rsidRPr="004F6AB8">
        <w:rPr>
          <w:b/>
        </w:rPr>
        <w:t xml:space="preserve">ДУМКА  ІЗ  ЗАСТЕРЕЖЕННЯМИ </w:t>
      </w:r>
    </w:p>
    <w:p w:rsidR="00F54CBE" w:rsidRDefault="00F54CBE">
      <w:pPr>
        <w:spacing w:after="0" w:line="259" w:lineRule="auto"/>
        <w:ind w:left="1278" w:right="0" w:firstLine="0"/>
        <w:jc w:val="left"/>
      </w:pPr>
    </w:p>
    <w:p w:rsidR="00F54CBE" w:rsidRDefault="006A1E48">
      <w:pPr>
        <w:ind w:left="-13" w:right="220"/>
      </w:pPr>
      <w:r>
        <w:t xml:space="preserve">Незалежною аудиторською фірмою Товариством з обмеженою відповідальністю «Аудиторська фірма «Столиця-Аудит»»  проведено аудит фінансової звітності Комунального підприємства Чопської міської ради «Водоканал Чоп» (далі по тексту - Підприємство)  станом на 31 грудня 2018 р. та за рік, що закінчився на вказану дату. </w:t>
      </w:r>
    </w:p>
    <w:p w:rsidR="00F54CBE" w:rsidRDefault="00F54CBE">
      <w:pPr>
        <w:spacing w:after="0" w:line="259" w:lineRule="auto"/>
        <w:ind w:left="568" w:right="0" w:firstLine="0"/>
        <w:jc w:val="left"/>
      </w:pPr>
    </w:p>
    <w:p w:rsidR="00F54CBE" w:rsidRDefault="006A1E48">
      <w:pPr>
        <w:ind w:left="-13" w:right="220"/>
      </w:pPr>
      <w:r>
        <w:t xml:space="preserve">Основні відомості про підприємство, фінансова звітність якого пройшла аудит: </w:t>
      </w:r>
    </w:p>
    <w:tbl>
      <w:tblPr>
        <w:tblStyle w:val="a5"/>
        <w:tblW w:w="9358" w:type="dxa"/>
        <w:tblInd w:w="-131" w:type="dxa"/>
        <w:tblLayout w:type="fixed"/>
        <w:tblLook w:val="0400" w:firstRow="0" w:lastRow="0" w:firstColumn="0" w:lastColumn="0" w:noHBand="0" w:noVBand="1"/>
      </w:tblPr>
      <w:tblGrid>
        <w:gridCol w:w="3828"/>
        <w:gridCol w:w="5530"/>
      </w:tblGrid>
      <w:tr w:rsidR="00F54CBE">
        <w:trPr>
          <w:trHeight w:val="1120"/>
        </w:trPr>
        <w:tc>
          <w:tcPr>
            <w:tcW w:w="3828" w:type="dxa"/>
            <w:tcBorders>
              <w:top w:val="single" w:sz="6" w:space="0" w:color="000000"/>
              <w:left w:val="single" w:sz="6" w:space="0" w:color="000000"/>
              <w:bottom w:val="single" w:sz="6" w:space="0" w:color="000000"/>
              <w:right w:val="single" w:sz="6" w:space="0" w:color="000000"/>
            </w:tcBorders>
            <w:vAlign w:val="center"/>
          </w:tcPr>
          <w:p w:rsidR="00F54CBE" w:rsidRDefault="006A1E48">
            <w:pPr>
              <w:spacing w:line="259" w:lineRule="auto"/>
              <w:ind w:left="142" w:right="0" w:firstLine="0"/>
              <w:jc w:val="left"/>
            </w:pPr>
            <w:r>
              <w:rPr>
                <w:sz w:val="24"/>
                <w:szCs w:val="24"/>
              </w:rPr>
              <w:t xml:space="preserve">Повне найменування </w:t>
            </w:r>
          </w:p>
        </w:tc>
        <w:tc>
          <w:tcPr>
            <w:tcW w:w="5530"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108" w:right="0" w:firstLine="0"/>
              <w:jc w:val="left"/>
            </w:pPr>
            <w:r>
              <w:rPr>
                <w:sz w:val="24"/>
                <w:szCs w:val="24"/>
              </w:rPr>
              <w:t>Комунальне підприємство Чопської міської ради "Водоканал Чоп"</w:t>
            </w:r>
          </w:p>
        </w:tc>
      </w:tr>
      <w:tr w:rsidR="00F54CBE">
        <w:trPr>
          <w:trHeight w:val="840"/>
        </w:trPr>
        <w:tc>
          <w:tcPr>
            <w:tcW w:w="3828"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108" w:right="0" w:firstLine="34"/>
              <w:jc w:val="left"/>
            </w:pPr>
            <w:r>
              <w:rPr>
                <w:sz w:val="24"/>
                <w:szCs w:val="24"/>
              </w:rPr>
              <w:t xml:space="preserve">Код за Єдиним державним реєстром підприємств та організацій України </w:t>
            </w:r>
          </w:p>
        </w:tc>
        <w:tc>
          <w:tcPr>
            <w:tcW w:w="5530" w:type="dxa"/>
            <w:tcBorders>
              <w:top w:val="single" w:sz="6" w:space="0" w:color="000000"/>
              <w:left w:val="single" w:sz="6" w:space="0" w:color="000000"/>
              <w:bottom w:val="single" w:sz="6" w:space="0" w:color="000000"/>
              <w:right w:val="single" w:sz="6" w:space="0" w:color="000000"/>
            </w:tcBorders>
            <w:vAlign w:val="center"/>
          </w:tcPr>
          <w:p w:rsidR="00F54CBE" w:rsidRDefault="006A1E48">
            <w:pPr>
              <w:spacing w:line="259" w:lineRule="auto"/>
              <w:ind w:left="108" w:right="0" w:firstLine="0"/>
              <w:jc w:val="left"/>
            </w:pPr>
            <w:r>
              <w:rPr>
                <w:sz w:val="24"/>
                <w:szCs w:val="24"/>
              </w:rPr>
              <w:t>40361703</w:t>
            </w:r>
          </w:p>
        </w:tc>
      </w:tr>
      <w:tr w:rsidR="00F54CBE">
        <w:trPr>
          <w:trHeight w:val="560"/>
        </w:trPr>
        <w:tc>
          <w:tcPr>
            <w:tcW w:w="3828" w:type="dxa"/>
            <w:tcBorders>
              <w:top w:val="single" w:sz="6" w:space="0" w:color="000000"/>
              <w:left w:val="single" w:sz="6" w:space="0" w:color="000000"/>
              <w:bottom w:val="single" w:sz="6" w:space="0" w:color="000000"/>
              <w:right w:val="single" w:sz="6" w:space="0" w:color="000000"/>
            </w:tcBorders>
            <w:vAlign w:val="center"/>
          </w:tcPr>
          <w:p w:rsidR="00F54CBE" w:rsidRDefault="006A1E48">
            <w:pPr>
              <w:spacing w:line="259" w:lineRule="auto"/>
              <w:ind w:left="142" w:right="0" w:firstLine="0"/>
              <w:jc w:val="left"/>
            </w:pPr>
            <w:r>
              <w:rPr>
                <w:sz w:val="24"/>
                <w:szCs w:val="24"/>
              </w:rPr>
              <w:t xml:space="preserve">Місцезнаходження </w:t>
            </w:r>
          </w:p>
        </w:tc>
        <w:tc>
          <w:tcPr>
            <w:tcW w:w="5530"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108" w:right="0" w:firstLine="0"/>
              <w:jc w:val="left"/>
            </w:pPr>
            <w:r>
              <w:rPr>
                <w:sz w:val="24"/>
                <w:szCs w:val="24"/>
              </w:rPr>
              <w:t>89502, Закарпатська обл., місто Чоп, ВУЛИЦЯ ГОЛОВНА, будинок 43 (0312)711168</w:t>
            </w:r>
          </w:p>
        </w:tc>
      </w:tr>
      <w:tr w:rsidR="00F54CBE">
        <w:trPr>
          <w:trHeight w:val="840"/>
        </w:trPr>
        <w:tc>
          <w:tcPr>
            <w:tcW w:w="3828" w:type="dxa"/>
            <w:tcBorders>
              <w:top w:val="single" w:sz="6" w:space="0" w:color="000000"/>
              <w:left w:val="single" w:sz="6" w:space="0" w:color="000000"/>
              <w:bottom w:val="single" w:sz="6" w:space="0" w:color="000000"/>
              <w:right w:val="single" w:sz="6" w:space="0" w:color="000000"/>
            </w:tcBorders>
            <w:vAlign w:val="center"/>
          </w:tcPr>
          <w:p w:rsidR="00F54CBE" w:rsidRDefault="006A1E48">
            <w:pPr>
              <w:spacing w:line="259" w:lineRule="auto"/>
              <w:ind w:left="108" w:right="0" w:firstLine="34"/>
              <w:jc w:val="left"/>
            </w:pPr>
            <w:r>
              <w:rPr>
                <w:sz w:val="24"/>
                <w:szCs w:val="24"/>
              </w:rPr>
              <w:t>Місце проведення державної реєстрації</w:t>
            </w:r>
          </w:p>
        </w:tc>
        <w:tc>
          <w:tcPr>
            <w:tcW w:w="5530" w:type="dxa"/>
            <w:tcBorders>
              <w:top w:val="single" w:sz="6" w:space="0" w:color="000000"/>
              <w:left w:val="single" w:sz="6" w:space="0" w:color="000000"/>
              <w:bottom w:val="single" w:sz="6" w:space="0" w:color="000000"/>
              <w:right w:val="single" w:sz="6" w:space="0" w:color="000000"/>
            </w:tcBorders>
            <w:vAlign w:val="center"/>
          </w:tcPr>
          <w:p w:rsidR="00F54CBE" w:rsidRDefault="006A1E48">
            <w:pPr>
              <w:jc w:val="left"/>
              <w:rPr>
                <w:color w:val="000000"/>
                <w:sz w:val="24"/>
                <w:szCs w:val="24"/>
              </w:rPr>
            </w:pPr>
            <w:r>
              <w:rPr>
                <w:rFonts w:ascii="inherit" w:eastAsia="inherit" w:hAnsi="inherit" w:cs="inherit"/>
                <w:color w:val="747474"/>
                <w:sz w:val="23"/>
                <w:szCs w:val="23"/>
              </w:rPr>
              <w:br/>
            </w:r>
            <w:r>
              <w:rPr>
                <w:color w:val="000000"/>
                <w:sz w:val="24"/>
                <w:szCs w:val="24"/>
              </w:rPr>
              <w:t>Ужгородська районна державна адміністрація Закарпатської області</w:t>
            </w:r>
          </w:p>
          <w:p w:rsidR="00F54CBE" w:rsidRDefault="00F54CBE">
            <w:pPr>
              <w:spacing w:line="259" w:lineRule="auto"/>
              <w:ind w:left="108" w:right="0" w:firstLine="0"/>
              <w:jc w:val="left"/>
            </w:pPr>
          </w:p>
        </w:tc>
      </w:tr>
      <w:tr w:rsidR="00F54CBE">
        <w:trPr>
          <w:trHeight w:val="560"/>
        </w:trPr>
        <w:tc>
          <w:tcPr>
            <w:tcW w:w="3828"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108" w:right="0" w:firstLine="34"/>
              <w:jc w:val="left"/>
            </w:pPr>
            <w:r>
              <w:rPr>
                <w:sz w:val="24"/>
                <w:szCs w:val="24"/>
              </w:rPr>
              <w:t xml:space="preserve">Дата проведення державної реєстрації </w:t>
            </w:r>
          </w:p>
        </w:tc>
        <w:tc>
          <w:tcPr>
            <w:tcW w:w="5530" w:type="dxa"/>
            <w:tcBorders>
              <w:top w:val="single" w:sz="6" w:space="0" w:color="000000"/>
              <w:left w:val="single" w:sz="6" w:space="0" w:color="000000"/>
              <w:bottom w:val="single" w:sz="6" w:space="0" w:color="000000"/>
              <w:right w:val="single" w:sz="6" w:space="0" w:color="000000"/>
            </w:tcBorders>
            <w:vAlign w:val="center"/>
          </w:tcPr>
          <w:p w:rsidR="00F54CBE" w:rsidRDefault="006A1E48">
            <w:pPr>
              <w:spacing w:line="259" w:lineRule="auto"/>
              <w:ind w:left="108" w:right="0" w:firstLine="0"/>
              <w:jc w:val="left"/>
            </w:pPr>
            <w:r>
              <w:rPr>
                <w:sz w:val="24"/>
                <w:szCs w:val="24"/>
              </w:rPr>
              <w:t>22.03.2016</w:t>
            </w:r>
          </w:p>
        </w:tc>
      </w:tr>
      <w:tr w:rsidR="00F54CBE">
        <w:trPr>
          <w:trHeight w:val="560"/>
        </w:trPr>
        <w:tc>
          <w:tcPr>
            <w:tcW w:w="3828"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108" w:right="0" w:firstLine="0"/>
            </w:pPr>
            <w:r>
              <w:rPr>
                <w:sz w:val="24"/>
                <w:szCs w:val="24"/>
              </w:rPr>
              <w:t>Дата внесення останніх змін до статуту (установчих документів)</w:t>
            </w:r>
          </w:p>
        </w:tc>
        <w:tc>
          <w:tcPr>
            <w:tcW w:w="5530" w:type="dxa"/>
            <w:tcBorders>
              <w:top w:val="single" w:sz="6" w:space="0" w:color="000000"/>
              <w:left w:val="single" w:sz="6" w:space="0" w:color="000000"/>
              <w:bottom w:val="single" w:sz="6" w:space="0" w:color="000000"/>
              <w:right w:val="single" w:sz="6" w:space="0" w:color="000000"/>
            </w:tcBorders>
            <w:vAlign w:val="center"/>
          </w:tcPr>
          <w:p w:rsidR="00F54CBE" w:rsidRDefault="006A1E48">
            <w:pPr>
              <w:spacing w:line="259" w:lineRule="auto"/>
              <w:ind w:left="108" w:right="0" w:firstLine="0"/>
              <w:jc w:val="left"/>
            </w:pPr>
            <w:r>
              <w:rPr>
                <w:sz w:val="24"/>
                <w:szCs w:val="24"/>
              </w:rPr>
              <w:t>06.03.2019</w:t>
            </w:r>
          </w:p>
        </w:tc>
      </w:tr>
      <w:tr w:rsidR="00F54CBE">
        <w:trPr>
          <w:trHeight w:val="1640"/>
        </w:trPr>
        <w:tc>
          <w:tcPr>
            <w:tcW w:w="3828"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108" w:right="0" w:firstLine="0"/>
              <w:jc w:val="left"/>
            </w:pPr>
            <w:r>
              <w:rPr>
                <w:sz w:val="24"/>
                <w:szCs w:val="24"/>
              </w:rPr>
              <w:t xml:space="preserve">Основні види діяльності </w:t>
            </w:r>
          </w:p>
        </w:tc>
        <w:tc>
          <w:tcPr>
            <w:tcW w:w="5530" w:type="dxa"/>
            <w:tcBorders>
              <w:top w:val="single" w:sz="6" w:space="0" w:color="000000"/>
              <w:left w:val="single" w:sz="6" w:space="0" w:color="000000"/>
              <w:bottom w:val="nil"/>
              <w:right w:val="single" w:sz="6" w:space="0" w:color="000000"/>
            </w:tcBorders>
          </w:tcPr>
          <w:p w:rsidR="00F54CBE" w:rsidRDefault="006A1E48">
            <w:pPr>
              <w:spacing w:line="259" w:lineRule="auto"/>
              <w:ind w:left="108" w:right="0" w:firstLine="0"/>
              <w:jc w:val="left"/>
              <w:rPr>
                <w:sz w:val="22"/>
                <w:szCs w:val="22"/>
              </w:rPr>
            </w:pPr>
            <w:r>
              <w:rPr>
                <w:sz w:val="22"/>
                <w:szCs w:val="22"/>
              </w:rPr>
              <w:t>Код КВЕД 37.00 Каналізація, відведення й очищення стічних вод (основний);</w:t>
            </w:r>
          </w:p>
          <w:p w:rsidR="00F54CBE" w:rsidRDefault="006A1E48">
            <w:pPr>
              <w:spacing w:line="259" w:lineRule="auto"/>
              <w:ind w:left="108" w:right="0" w:firstLine="0"/>
              <w:jc w:val="left"/>
              <w:rPr>
                <w:sz w:val="22"/>
                <w:szCs w:val="22"/>
              </w:rPr>
            </w:pPr>
            <w:r>
              <w:rPr>
                <w:sz w:val="22"/>
                <w:szCs w:val="22"/>
              </w:rPr>
              <w:t>Код КВЕД 43.22 Монтаж водопровідних мереж, систем опалення та кондиціонування;</w:t>
            </w:r>
          </w:p>
          <w:p w:rsidR="00F54CBE" w:rsidRDefault="006A1E48">
            <w:pPr>
              <w:spacing w:line="259" w:lineRule="auto"/>
              <w:ind w:left="108" w:right="0" w:firstLine="0"/>
              <w:jc w:val="left"/>
              <w:rPr>
                <w:sz w:val="22"/>
                <w:szCs w:val="22"/>
              </w:rPr>
            </w:pPr>
            <w:r>
              <w:rPr>
                <w:sz w:val="22"/>
                <w:szCs w:val="22"/>
              </w:rPr>
              <w:t>Код КВЕД 43.29 Інші будівельно-монтажні роботи;</w:t>
            </w:r>
          </w:p>
          <w:p w:rsidR="00F54CBE" w:rsidRDefault="006A1E48">
            <w:pPr>
              <w:spacing w:line="259" w:lineRule="auto"/>
              <w:ind w:left="108" w:right="0" w:firstLine="0"/>
              <w:jc w:val="left"/>
              <w:rPr>
                <w:sz w:val="22"/>
                <w:szCs w:val="22"/>
              </w:rPr>
            </w:pPr>
            <w:r>
              <w:rPr>
                <w:sz w:val="22"/>
                <w:szCs w:val="22"/>
              </w:rPr>
              <w:t>Код КВЕД 36.00 Забір, очищення та постачання води;</w:t>
            </w:r>
          </w:p>
          <w:p w:rsidR="00F54CBE" w:rsidRDefault="006A1E48">
            <w:pPr>
              <w:spacing w:line="259" w:lineRule="auto"/>
              <w:ind w:left="108" w:right="0" w:firstLine="0"/>
              <w:jc w:val="left"/>
              <w:rPr>
                <w:sz w:val="22"/>
                <w:szCs w:val="22"/>
              </w:rPr>
            </w:pPr>
            <w:r>
              <w:rPr>
                <w:sz w:val="22"/>
                <w:szCs w:val="22"/>
              </w:rPr>
              <w:t>Код КВЕД 39.00 Інша діяльність щодо поводження з відходами</w:t>
            </w:r>
          </w:p>
        </w:tc>
      </w:tr>
      <w:tr w:rsidR="00F54CBE">
        <w:trPr>
          <w:trHeight w:val="1400"/>
        </w:trPr>
        <w:tc>
          <w:tcPr>
            <w:tcW w:w="3828"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0" w:right="0" w:firstLine="0"/>
              <w:jc w:val="left"/>
            </w:pPr>
            <w:r>
              <w:rPr>
                <w:sz w:val="24"/>
                <w:szCs w:val="24"/>
              </w:rPr>
              <w:t xml:space="preserve">Керівник </w:t>
            </w:r>
          </w:p>
          <w:p w:rsidR="00F54CBE" w:rsidRDefault="006A1E48">
            <w:pPr>
              <w:spacing w:line="259" w:lineRule="auto"/>
              <w:ind w:left="0" w:right="0" w:firstLine="0"/>
              <w:jc w:val="left"/>
            </w:pPr>
            <w:r w:rsidRPr="00F26ECD">
              <w:rPr>
                <w:sz w:val="24"/>
                <w:szCs w:val="24"/>
              </w:rPr>
              <w:t>Головний бухгалтер</w:t>
            </w:r>
          </w:p>
          <w:p w:rsidR="00F54CBE" w:rsidRDefault="00F54CBE">
            <w:pPr>
              <w:spacing w:line="259" w:lineRule="auto"/>
              <w:ind w:left="0" w:right="0" w:firstLine="0"/>
              <w:jc w:val="left"/>
            </w:pPr>
          </w:p>
          <w:p w:rsidR="00F54CBE" w:rsidRDefault="006A1E48">
            <w:pPr>
              <w:spacing w:line="259" w:lineRule="auto"/>
              <w:ind w:left="0" w:right="0" w:firstLine="0"/>
              <w:jc w:val="left"/>
            </w:pPr>
            <w:r>
              <w:rPr>
                <w:sz w:val="24"/>
                <w:szCs w:val="24"/>
              </w:rPr>
              <w:t>Середньорічна кількість працівників</w:t>
            </w:r>
          </w:p>
        </w:tc>
        <w:tc>
          <w:tcPr>
            <w:tcW w:w="5530" w:type="dxa"/>
            <w:tcBorders>
              <w:top w:val="single" w:sz="6" w:space="0" w:color="000000"/>
              <w:left w:val="single" w:sz="6" w:space="0" w:color="000000"/>
              <w:bottom w:val="single" w:sz="6" w:space="0" w:color="000000"/>
              <w:right w:val="single" w:sz="6" w:space="0" w:color="000000"/>
            </w:tcBorders>
          </w:tcPr>
          <w:p w:rsidR="00F54CBE" w:rsidRDefault="006A1E48">
            <w:pPr>
              <w:spacing w:line="259" w:lineRule="auto"/>
              <w:ind w:left="0" w:right="0" w:firstLine="0"/>
              <w:jc w:val="left"/>
            </w:pPr>
            <w:r>
              <w:t xml:space="preserve">ТРУТ ЛЮБОМИР БОГДАНОВИЧ  </w:t>
            </w:r>
          </w:p>
          <w:p w:rsidR="00F54CBE" w:rsidRDefault="00F54CBE">
            <w:pPr>
              <w:spacing w:line="259" w:lineRule="auto"/>
              <w:ind w:left="0" w:right="0" w:firstLine="0"/>
              <w:jc w:val="left"/>
            </w:pPr>
          </w:p>
          <w:p w:rsidR="00F54CBE" w:rsidRDefault="00F54CBE">
            <w:pPr>
              <w:spacing w:line="259" w:lineRule="auto"/>
              <w:ind w:left="0" w:right="0" w:firstLine="0"/>
              <w:jc w:val="left"/>
            </w:pPr>
          </w:p>
          <w:p w:rsidR="00F54CBE" w:rsidRPr="00F26ECD" w:rsidRDefault="006A1E48">
            <w:pPr>
              <w:spacing w:line="259" w:lineRule="auto"/>
              <w:ind w:left="0" w:right="0" w:firstLine="0"/>
              <w:jc w:val="left"/>
              <w:rPr>
                <w:sz w:val="24"/>
                <w:szCs w:val="24"/>
              </w:rPr>
            </w:pPr>
            <w:r w:rsidRPr="00F26ECD">
              <w:rPr>
                <w:sz w:val="24"/>
                <w:szCs w:val="24"/>
              </w:rPr>
              <w:t xml:space="preserve"> 13 чоловік</w:t>
            </w:r>
          </w:p>
        </w:tc>
      </w:tr>
    </w:tbl>
    <w:p w:rsidR="00F54CBE" w:rsidRDefault="00F54CBE">
      <w:pPr>
        <w:spacing w:after="0" w:line="259" w:lineRule="auto"/>
        <w:ind w:left="568" w:right="0" w:firstLine="0"/>
        <w:jc w:val="left"/>
      </w:pPr>
    </w:p>
    <w:p w:rsidR="004F6AB8" w:rsidRDefault="004F6AB8">
      <w:pPr>
        <w:ind w:left="-13" w:right="220"/>
      </w:pPr>
    </w:p>
    <w:p w:rsidR="00F54CBE" w:rsidRDefault="006A1E48">
      <w:pPr>
        <w:ind w:left="-13" w:right="220"/>
      </w:pPr>
      <w:r>
        <w:lastRenderedPageBreak/>
        <w:t xml:space="preserve">Повний пакет фінансової звітності підприємства, складений за Національними положеннями (стандартами) бухгалтерського обліку України, складається із: </w:t>
      </w:r>
    </w:p>
    <w:p w:rsidR="00F54CBE" w:rsidRDefault="006A1E48">
      <w:pPr>
        <w:numPr>
          <w:ilvl w:val="0"/>
          <w:numId w:val="2"/>
        </w:numPr>
        <w:ind w:right="220" w:hanging="360"/>
      </w:pPr>
      <w:r>
        <w:t xml:space="preserve">Фінансового Звіту суб’єкта малого підприємства Балансу станом на 31.12.2018 р.,  </w:t>
      </w:r>
    </w:p>
    <w:p w:rsidR="00F54CBE" w:rsidRDefault="006A1E48">
      <w:pPr>
        <w:numPr>
          <w:ilvl w:val="0"/>
          <w:numId w:val="2"/>
        </w:numPr>
        <w:ind w:right="220" w:hanging="360"/>
      </w:pPr>
      <w:r>
        <w:t xml:space="preserve">Звіту про фінансові результати за 2018 рік,  </w:t>
      </w:r>
    </w:p>
    <w:p w:rsidR="00F54CBE" w:rsidRDefault="00F54CBE">
      <w:pPr>
        <w:spacing w:after="0" w:line="259" w:lineRule="auto"/>
        <w:ind w:left="812" w:right="0" w:firstLine="0"/>
        <w:jc w:val="left"/>
      </w:pPr>
    </w:p>
    <w:p w:rsidR="00F54CBE" w:rsidRDefault="006A1E48">
      <w:pPr>
        <w:ind w:left="-13" w:right="220"/>
      </w:pPr>
      <w:r>
        <w:t xml:space="preserve">На нашу думку, за винятком можливого впливу питань, зазначених в розділі «Основа для думки із застереженнями», фінансова звітність підприємства, що додається, подає достовірно в усіх суттєвих аспектах фінансовий стан на 31 грудня 2018 року, фінансові результати за рік, що закінчився на вказану дату, відповідно до національних ПС(Б)О України та відповідає  вимогам Закону України "Про бухгалтерський облік та фінансову звітність в Україні" від 16.07.1999 р. N 996-XIV щодо складання фінансової звітності.   </w:t>
      </w:r>
    </w:p>
    <w:p w:rsidR="00F54CBE" w:rsidRDefault="00F54CBE">
      <w:pPr>
        <w:spacing w:after="0" w:line="259" w:lineRule="auto"/>
        <w:ind w:left="569" w:right="0" w:firstLine="0"/>
        <w:jc w:val="left"/>
      </w:pPr>
    </w:p>
    <w:p w:rsidR="00F54CBE" w:rsidRPr="004F6AB8" w:rsidRDefault="006A1E48" w:rsidP="00116E10">
      <w:pPr>
        <w:ind w:hanging="1"/>
        <w:rPr>
          <w:b/>
        </w:rPr>
      </w:pPr>
      <w:r w:rsidRPr="004F6AB8">
        <w:rPr>
          <w:b/>
        </w:rPr>
        <w:t xml:space="preserve">ОСНОВА  ДЛЯ  ДУМКИ  ІЗ  ЗАСТЕРЕЖЕННЯМИ </w:t>
      </w:r>
    </w:p>
    <w:p w:rsidR="00F54CBE" w:rsidRDefault="00F54CBE">
      <w:pPr>
        <w:spacing w:after="0" w:line="259" w:lineRule="auto"/>
        <w:ind w:left="568" w:right="0" w:firstLine="0"/>
        <w:jc w:val="left"/>
      </w:pPr>
    </w:p>
    <w:p w:rsidR="00F54CBE" w:rsidRDefault="006A1E48">
      <w:pPr>
        <w:pStyle w:val="3"/>
        <w:numPr>
          <w:ilvl w:val="0"/>
          <w:numId w:val="1"/>
        </w:numPr>
        <w:ind w:right="218" w:hanging="360"/>
      </w:pPr>
      <w:r>
        <w:t xml:space="preserve">Земельні ділянки </w:t>
      </w:r>
    </w:p>
    <w:p w:rsidR="00F54CBE" w:rsidRDefault="00F54CBE">
      <w:pPr>
        <w:ind w:left="-13" w:right="220"/>
        <w:rPr>
          <w:highlight w:val="yellow"/>
        </w:rPr>
      </w:pPr>
    </w:p>
    <w:p w:rsidR="00F54CBE" w:rsidRDefault="00AC2F25">
      <w:pPr>
        <w:ind w:left="-13" w:right="220"/>
        <w:rPr>
          <w:color w:val="000000"/>
        </w:rPr>
      </w:pPr>
      <w:r>
        <w:rPr>
          <w:color w:val="000000"/>
        </w:rPr>
        <w:t>Станом на 31.12.2018 р.</w:t>
      </w:r>
      <w:r w:rsidR="006A1E48">
        <w:rPr>
          <w:color w:val="000000"/>
        </w:rPr>
        <w:t xml:space="preserve"> бал</w:t>
      </w:r>
      <w:r>
        <w:rPr>
          <w:color w:val="000000"/>
        </w:rPr>
        <w:t>анс підприємства не відображає</w:t>
      </w:r>
      <w:r w:rsidR="006A1E48">
        <w:rPr>
          <w:color w:val="000000"/>
        </w:rPr>
        <w:t xml:space="preserve"> </w:t>
      </w:r>
      <w:r>
        <w:rPr>
          <w:color w:val="000000"/>
        </w:rPr>
        <w:t>право постійного користування земельною ділянкою (кадастровий номер: 2110100000:11:018:0020, реєстраційний номер об’єкту нерухомого майна: 1593933321110), яка згідно рішення</w:t>
      </w:r>
      <w:r w:rsidR="006A1E48">
        <w:rPr>
          <w:color w:val="000000"/>
        </w:rPr>
        <w:t xml:space="preserve"> Чопської міської ради №25 від 25.09.2018. надана  в постійне користування КП ЧМР «Водоканал Чоп».</w:t>
      </w:r>
    </w:p>
    <w:p w:rsidR="00D32A2E" w:rsidRDefault="00AC2F25">
      <w:pPr>
        <w:ind w:left="-13" w:right="220"/>
        <w:rPr>
          <w:color w:val="000000"/>
        </w:rPr>
      </w:pPr>
      <w:r>
        <w:rPr>
          <w:color w:val="000000"/>
        </w:rPr>
        <w:t>Так, з</w:t>
      </w:r>
      <w:r w:rsidR="006A1E48">
        <w:rPr>
          <w:color w:val="000000"/>
        </w:rPr>
        <w:t xml:space="preserve">гідно з </w:t>
      </w:r>
      <w:r>
        <w:rPr>
          <w:color w:val="000000"/>
        </w:rPr>
        <w:t>положеннями статей</w:t>
      </w:r>
      <w:r w:rsidR="006A1E48">
        <w:rPr>
          <w:color w:val="000000"/>
        </w:rPr>
        <w:t xml:space="preserve"> 125 та 126 Земельного кодексу України, право постійного користування земельної ділянки виникає з моменту державної реєстрації цих прав та оформлюютьс</w:t>
      </w:r>
      <w:r w:rsidR="006279DF">
        <w:rPr>
          <w:color w:val="000000"/>
        </w:rPr>
        <w:t>я відповідно до Закону України «</w:t>
      </w:r>
      <w:r w:rsidR="006A1E48">
        <w:rPr>
          <w:color w:val="000000"/>
        </w:rPr>
        <w:t xml:space="preserve">Про державну реєстрацію речових прав на нерухоме майно </w:t>
      </w:r>
      <w:r w:rsidR="006279DF">
        <w:rPr>
          <w:color w:val="000000"/>
        </w:rPr>
        <w:t>та їх обтяжень»</w:t>
      </w:r>
      <w:r w:rsidR="006A1E48">
        <w:rPr>
          <w:color w:val="000000"/>
        </w:rPr>
        <w:t xml:space="preserve">. </w:t>
      </w:r>
      <w:r>
        <w:rPr>
          <w:color w:val="000000"/>
        </w:rPr>
        <w:t xml:space="preserve">Згідно Витягу з Державного реєстру речових прав на нерухоме майно про реєстрацію іншого речового права від </w:t>
      </w:r>
      <w:r w:rsidR="007B0FCE">
        <w:rPr>
          <w:color w:val="000000"/>
        </w:rPr>
        <w:t>10.10.2018 р. (індексний номер витягу: 140906215) п</w:t>
      </w:r>
      <w:r w:rsidR="006A1E48">
        <w:rPr>
          <w:color w:val="000000"/>
        </w:rPr>
        <w:t xml:space="preserve">раво постійного користування </w:t>
      </w:r>
      <w:r w:rsidR="007B0FCE">
        <w:rPr>
          <w:color w:val="000000"/>
        </w:rPr>
        <w:t xml:space="preserve">земельною ділянкою загальною площею 0,7 га, кадастровий номер: </w:t>
      </w:r>
      <w:r w:rsidR="007B0FCE" w:rsidRPr="007B0FCE">
        <w:rPr>
          <w:color w:val="000000"/>
        </w:rPr>
        <w:t>2110100000:11:018:0020, реєстраційний номер об’єкту нерухомого майна: 1593933321110</w:t>
      </w:r>
      <w:r w:rsidR="007B0FCE">
        <w:rPr>
          <w:color w:val="000000"/>
        </w:rPr>
        <w:t xml:space="preserve">, розташованою за </w:t>
      </w:r>
      <w:proofErr w:type="spellStart"/>
      <w:r w:rsidR="007B0FCE">
        <w:rPr>
          <w:color w:val="000000"/>
        </w:rPr>
        <w:t>адресою</w:t>
      </w:r>
      <w:proofErr w:type="spellEnd"/>
      <w:r w:rsidR="007B0FCE">
        <w:rPr>
          <w:color w:val="000000"/>
        </w:rPr>
        <w:t xml:space="preserve">: Закарпатська область, місто Чоп, вулиця </w:t>
      </w:r>
      <w:proofErr w:type="spellStart"/>
      <w:r w:rsidR="007B0FCE">
        <w:rPr>
          <w:color w:val="000000"/>
        </w:rPr>
        <w:t>Темето</w:t>
      </w:r>
      <w:proofErr w:type="spellEnd"/>
      <w:r w:rsidR="007B0FCE">
        <w:rPr>
          <w:color w:val="000000"/>
        </w:rPr>
        <w:t xml:space="preserve"> (вулиця </w:t>
      </w:r>
      <w:proofErr w:type="spellStart"/>
      <w:r w:rsidR="007B0FCE">
        <w:rPr>
          <w:color w:val="000000"/>
        </w:rPr>
        <w:t>Контратовича</w:t>
      </w:r>
      <w:proofErr w:type="spellEnd"/>
      <w:r w:rsidR="007B0FCE">
        <w:rPr>
          <w:color w:val="000000"/>
        </w:rPr>
        <w:t xml:space="preserve"> Ернеста, вулиця Чапаєва), </w:t>
      </w:r>
      <w:r w:rsidR="006A1E48">
        <w:rPr>
          <w:color w:val="000000"/>
        </w:rPr>
        <w:t xml:space="preserve">зареєстровано </w:t>
      </w:r>
      <w:r w:rsidR="007B0FCE">
        <w:rPr>
          <w:color w:val="000000"/>
        </w:rPr>
        <w:t xml:space="preserve">за Комунальним підприємством Чопської міської ради «Водоканал Чоп» </w:t>
      </w:r>
      <w:r w:rsidR="009922A2">
        <w:rPr>
          <w:color w:val="000000"/>
        </w:rPr>
        <w:t xml:space="preserve">05.10.2018 р. Попри це, фінансова звітність станом </w:t>
      </w:r>
      <w:r w:rsidR="00D32A2E">
        <w:rPr>
          <w:color w:val="000000"/>
        </w:rPr>
        <w:t xml:space="preserve"> на 31.12.2018 р. не відображає</w:t>
      </w:r>
      <w:r w:rsidR="009922A2">
        <w:rPr>
          <w:color w:val="000000"/>
        </w:rPr>
        <w:t xml:space="preserve"> </w:t>
      </w:r>
      <w:r w:rsidR="00D32A2E">
        <w:rPr>
          <w:color w:val="000000"/>
        </w:rPr>
        <w:t>інформацію</w:t>
      </w:r>
      <w:r w:rsidR="006A1E48">
        <w:rPr>
          <w:color w:val="000000"/>
        </w:rPr>
        <w:t xml:space="preserve"> щодо вартості прав по</w:t>
      </w:r>
      <w:r w:rsidR="009922A2">
        <w:rPr>
          <w:color w:val="000000"/>
        </w:rPr>
        <w:t xml:space="preserve">стійного користування земельною ділянкою, що є </w:t>
      </w:r>
      <w:r w:rsidR="006A1E48">
        <w:rPr>
          <w:color w:val="000000"/>
        </w:rPr>
        <w:t>порушення</w:t>
      </w:r>
      <w:r w:rsidR="009922A2">
        <w:rPr>
          <w:color w:val="000000"/>
        </w:rPr>
        <w:t>м</w:t>
      </w:r>
      <w:r w:rsidR="006A1E48">
        <w:rPr>
          <w:color w:val="000000"/>
        </w:rPr>
        <w:t xml:space="preserve"> но</w:t>
      </w:r>
      <w:r w:rsidR="009922A2">
        <w:rPr>
          <w:color w:val="000000"/>
        </w:rPr>
        <w:t>рм</w:t>
      </w:r>
      <w:bookmarkStart w:id="0" w:name="_GoBack"/>
      <w:bookmarkEnd w:id="0"/>
      <w:r w:rsidR="009922A2">
        <w:rPr>
          <w:color w:val="000000"/>
        </w:rPr>
        <w:t xml:space="preserve"> </w:t>
      </w:r>
      <w:r w:rsidR="006A1E48">
        <w:rPr>
          <w:color w:val="000000"/>
        </w:rPr>
        <w:t xml:space="preserve">Наказу Міністерства фінансів України № 1213 від 19.12.2006 р. та пункту 13 ПСБО 8 «Нематеріальні активи». </w:t>
      </w:r>
    </w:p>
    <w:p w:rsidR="00F54CBE" w:rsidRDefault="006A1E48">
      <w:pPr>
        <w:ind w:left="-13" w:right="220"/>
        <w:rPr>
          <w:color w:val="000000"/>
        </w:rPr>
      </w:pPr>
      <w:r>
        <w:rPr>
          <w:color w:val="000000"/>
        </w:rPr>
        <w:t>Н</w:t>
      </w:r>
      <w:r>
        <w:t>ематеріальний актив</w:t>
      </w:r>
      <w:r>
        <w:rPr>
          <w:b/>
        </w:rPr>
        <w:t> </w:t>
      </w:r>
      <w:r>
        <w:t>оцінюється та відображається в Балансі</w:t>
      </w:r>
      <w:r>
        <w:rPr>
          <w:b/>
        </w:rPr>
        <w:t> </w:t>
      </w:r>
      <w:r>
        <w:t>не за вартістю самої земельної ділянки, а за вартістю права користування цією земельною ділянкою</w:t>
      </w:r>
      <w:r>
        <w:rPr>
          <w:b/>
        </w:rPr>
        <w:t>.</w:t>
      </w:r>
    </w:p>
    <w:p w:rsidR="00F54CBE" w:rsidRDefault="006A1E48">
      <w:pPr>
        <w:pBdr>
          <w:top w:val="nil"/>
          <w:left w:val="nil"/>
          <w:bottom w:val="nil"/>
          <w:right w:val="nil"/>
          <w:between w:val="nil"/>
        </w:pBdr>
        <w:spacing w:after="0" w:line="240" w:lineRule="auto"/>
        <w:ind w:left="0" w:right="0" w:firstLine="300"/>
        <w:rPr>
          <w:b/>
          <w:color w:val="000000"/>
        </w:rPr>
      </w:pPr>
      <w:r>
        <w:rPr>
          <w:color w:val="000000"/>
        </w:rPr>
        <w:t>У листі від 06.03.2009</w:t>
      </w:r>
      <w:r w:rsidR="009922A2">
        <w:rPr>
          <w:color w:val="000000"/>
        </w:rPr>
        <w:t xml:space="preserve"> р.</w:t>
      </w:r>
      <w:r>
        <w:rPr>
          <w:color w:val="000000"/>
        </w:rPr>
        <w:t xml:space="preserve"> за № 31-34000-10-10/6424</w:t>
      </w:r>
      <w:r>
        <w:rPr>
          <w:i/>
          <w:color w:val="000000"/>
        </w:rPr>
        <w:t> </w:t>
      </w:r>
      <w:r>
        <w:rPr>
          <w:color w:val="000000"/>
        </w:rPr>
        <w:t>Мінфін зазначив: вартість цього  права визначається згідно із </w:t>
      </w:r>
      <w:hyperlink r:id="rId9">
        <w:r>
          <w:rPr>
            <w:color w:val="000000"/>
          </w:rPr>
          <w:t>Законом України «Про оцінку майна, майнових прав та професійну оціночну діяльність в Україні» від 12.07.2001 р. № 2658-III</w:t>
        </w:r>
      </w:hyperlink>
      <w:r>
        <w:rPr>
          <w:i/>
          <w:color w:val="000000"/>
        </w:rPr>
        <w:t>.</w:t>
      </w:r>
      <w:r>
        <w:rPr>
          <w:color w:val="000000"/>
        </w:rPr>
        <w:t> Проведення експертної грошової оцінки прямо приписано частиною другою </w:t>
      </w:r>
      <w:hyperlink r:id="rId10">
        <w:r>
          <w:rPr>
            <w:color w:val="000000"/>
          </w:rPr>
          <w:t>ст. 13 Закону України «Про оцінку земель» від 11.12.2003 р. № 1378-IV </w:t>
        </w:r>
      </w:hyperlink>
      <w:r>
        <w:rPr>
          <w:color w:val="000000"/>
        </w:rPr>
        <w:t>у разі відображення вартості права користування земельними ділянками в бухгалтерському обліку</w:t>
      </w:r>
      <w:r>
        <w:rPr>
          <w:b/>
          <w:color w:val="000000"/>
        </w:rPr>
        <w:t>. </w:t>
      </w:r>
    </w:p>
    <w:p w:rsidR="00F54CBE" w:rsidRDefault="00D32A2E">
      <w:pPr>
        <w:ind w:left="-13" w:right="220"/>
        <w:rPr>
          <w:color w:val="000000"/>
        </w:rPr>
      </w:pPr>
      <w:r>
        <w:rPr>
          <w:color w:val="000000"/>
        </w:rPr>
        <w:lastRenderedPageBreak/>
        <w:t>Разом з цим, у відповідності до вимог</w:t>
      </w:r>
      <w:r w:rsidR="006A1E48">
        <w:rPr>
          <w:color w:val="000000"/>
        </w:rPr>
        <w:t xml:space="preserve"> національних ПСБО права постійного користування мають обліковуватися в балансі підприємства за експертною оцінкою, яку може проводить виключно незалежний сертифікований експерт. Так</w:t>
      </w:r>
      <w:r w:rsidR="009922A2">
        <w:rPr>
          <w:color w:val="000000"/>
        </w:rPr>
        <w:t>,</w:t>
      </w:r>
      <w:r w:rsidR="006A1E48">
        <w:rPr>
          <w:color w:val="000000"/>
        </w:rPr>
        <w:t xml:space="preserve"> як незалежна оцінка  прав по</w:t>
      </w:r>
      <w:r>
        <w:rPr>
          <w:color w:val="000000"/>
        </w:rPr>
        <w:t>стійного користування земельною ділянкою</w:t>
      </w:r>
      <w:r w:rsidR="006A1E48">
        <w:rPr>
          <w:color w:val="000000"/>
        </w:rPr>
        <w:t xml:space="preserve"> проведена не була, ми не можемо достовірно оцінити вплив даного викривлення на фінансову звітність підприємства, але аудитори вважають, що оприбуткування на баланс прав по</w:t>
      </w:r>
      <w:r>
        <w:rPr>
          <w:color w:val="000000"/>
        </w:rPr>
        <w:t>стійного користування земельною ділянкою</w:t>
      </w:r>
      <w:r w:rsidR="006A1E48">
        <w:rPr>
          <w:color w:val="000000"/>
        </w:rPr>
        <w:t xml:space="preserve"> суттєво вплинуло б на показники фінансової звітності Підприємства</w:t>
      </w:r>
      <w:r>
        <w:rPr>
          <w:color w:val="000000"/>
        </w:rPr>
        <w:t xml:space="preserve">, зокрема, суттєво збільшило б </w:t>
      </w:r>
      <w:r w:rsidR="006A1E48">
        <w:rPr>
          <w:color w:val="000000"/>
        </w:rPr>
        <w:t xml:space="preserve">вартість активів підприємства та величину його власного (додаткового) капіталу. </w:t>
      </w:r>
    </w:p>
    <w:p w:rsidR="00F54CBE" w:rsidRDefault="00F54CBE">
      <w:pPr>
        <w:spacing w:after="0" w:line="259" w:lineRule="auto"/>
        <w:ind w:left="721" w:right="0" w:firstLine="0"/>
        <w:jc w:val="left"/>
        <w:rPr>
          <w:color w:val="FF0000"/>
        </w:rPr>
      </w:pPr>
    </w:p>
    <w:p w:rsidR="00F54CBE" w:rsidRDefault="006A1E48">
      <w:pPr>
        <w:pStyle w:val="3"/>
        <w:ind w:left="439" w:right="218"/>
      </w:pPr>
      <w:r>
        <w:t>2. Зобов’язання</w:t>
      </w:r>
    </w:p>
    <w:p w:rsidR="00F54CBE" w:rsidRDefault="00F54CBE">
      <w:pPr>
        <w:ind w:left="-13" w:right="220"/>
      </w:pPr>
    </w:p>
    <w:p w:rsidR="00F54CBE" w:rsidRDefault="006A1E48">
      <w:pPr>
        <w:ind w:left="-13" w:right="220"/>
      </w:pPr>
      <w:r>
        <w:t xml:space="preserve">Методологічні засади формування в бухгалтерському обліку інформації про зобов'язання та її розкриття у фінансовій звітності визначені П(С)БО 11 «Зобов'язання». </w:t>
      </w:r>
    </w:p>
    <w:p w:rsidR="00F54CBE" w:rsidRDefault="006A1E48">
      <w:pPr>
        <w:ind w:left="-13" w:right="220"/>
      </w:pPr>
      <w:r>
        <w:t>Зобов'язання – це заборгованість підприємства, яка виникла внаслідок минулих подій і погашення якої, як очікується, призведе до зменшення ресурсів підприємства, що втілюють економічні вигоди. Зобов'язання визнається, якщо його оцінка може бути достовірно визначена та існує ймовірність зменшення економічних вигід у майбутньому внаслідок його погашення. Погашення зобов'язання може здійснюватися шляхом сплати грошима, відвантаження готової продукції, товарів, виконання робіт, надання послуг тощо.</w:t>
      </w:r>
    </w:p>
    <w:p w:rsidR="00F54CBE" w:rsidRDefault="006A1E48">
      <w:pPr>
        <w:ind w:left="-13" w:right="220"/>
      </w:pPr>
      <w:r>
        <w:t xml:space="preserve">Відповідно до норм Закону «Про бухгалтерський облік та фінансову звітність в Україні», П(С)БО 11 «Зобов’язання» та  керуючись </w:t>
      </w:r>
      <w:hyperlink r:id="rId11">
        <w:r>
          <w:rPr>
            <w:color w:val="000000"/>
          </w:rPr>
          <w:t>Інструкцій з бухгалтерському обліку податку на додану вартість, затверджена наказом Мінфіну від 01.07.97 р. № 141</w:t>
        </w:r>
      </w:hyperlink>
      <w:r>
        <w:t xml:space="preserve"> кожне підприємство – платник ПДВ зобов’язано вести бухгалтерський облік кредиторської та дебіторської заборгованості за розрахунками з бюджетом. Узагальнену інформацію щодо сальдо боргу відображують у Балансі (Звіті про фінансовий стан) у загально прийнятому порядку. В порушення вище приведених нормативних актів на підприємстві відсутній аналітичний облік по бухгалтерському рахунку </w:t>
      </w:r>
      <w:r>
        <w:rPr>
          <w:highlight w:val="white"/>
        </w:rPr>
        <w:t xml:space="preserve">«Податкові зобов’язання» та не </w:t>
      </w:r>
      <w:proofErr w:type="spellStart"/>
      <w:r>
        <w:rPr>
          <w:highlight w:val="white"/>
        </w:rPr>
        <w:t>вeдеться</w:t>
      </w:r>
      <w:proofErr w:type="spellEnd"/>
      <w:r>
        <w:rPr>
          <w:highlight w:val="white"/>
        </w:rPr>
        <w:t xml:space="preserve"> облік </w:t>
      </w:r>
      <w:proofErr w:type="spellStart"/>
      <w:r>
        <w:rPr>
          <w:highlight w:val="white"/>
        </w:rPr>
        <w:t>cуми</w:t>
      </w:r>
      <w:proofErr w:type="spellEnd"/>
      <w:r>
        <w:rPr>
          <w:highlight w:val="white"/>
        </w:rPr>
        <w:t xml:space="preserve"> податку на додану вартість, </w:t>
      </w:r>
      <w:proofErr w:type="spellStart"/>
      <w:r>
        <w:rPr>
          <w:highlight w:val="white"/>
        </w:rPr>
        <w:t>визнaчену</w:t>
      </w:r>
      <w:proofErr w:type="spellEnd"/>
      <w:r>
        <w:rPr>
          <w:highlight w:val="white"/>
        </w:rPr>
        <w:t xml:space="preserve">, виходячи із </w:t>
      </w:r>
      <w:proofErr w:type="spellStart"/>
      <w:r>
        <w:rPr>
          <w:highlight w:val="white"/>
        </w:rPr>
        <w:t>cуми</w:t>
      </w:r>
      <w:proofErr w:type="spellEnd"/>
      <w:r>
        <w:rPr>
          <w:highlight w:val="white"/>
        </w:rPr>
        <w:t xml:space="preserve"> одержаних авансів (попередньої оплати) </w:t>
      </w:r>
      <w:proofErr w:type="spellStart"/>
      <w:r>
        <w:rPr>
          <w:highlight w:val="white"/>
        </w:rPr>
        <w:t>зa</w:t>
      </w:r>
      <w:proofErr w:type="spellEnd"/>
      <w:r>
        <w:rPr>
          <w:highlight w:val="white"/>
        </w:rPr>
        <w:t xml:space="preserve"> послуги,  </w:t>
      </w:r>
      <w:proofErr w:type="spellStart"/>
      <w:r>
        <w:rPr>
          <w:highlight w:val="white"/>
        </w:rPr>
        <w:t>щo</w:t>
      </w:r>
      <w:proofErr w:type="spellEnd"/>
      <w:r>
        <w:rPr>
          <w:highlight w:val="white"/>
        </w:rPr>
        <w:t xml:space="preserve"> підлягають відвантаженню (виконанню).</w:t>
      </w:r>
    </w:p>
    <w:p w:rsidR="00F54CBE" w:rsidRDefault="00F54CBE">
      <w:pPr>
        <w:ind w:left="-13" w:right="220"/>
      </w:pPr>
    </w:p>
    <w:p w:rsidR="00F54CBE" w:rsidRDefault="00F54CBE">
      <w:pPr>
        <w:ind w:left="-13" w:right="220" w:firstLine="427"/>
        <w:rPr>
          <w:highlight w:val="yellow"/>
        </w:rPr>
      </w:pPr>
    </w:p>
    <w:p w:rsidR="00F54CBE" w:rsidRDefault="006A1E48">
      <w:pPr>
        <w:ind w:left="-13" w:right="220" w:firstLine="427"/>
      </w:pPr>
      <w:r>
        <w:t>Ми провели аудит відповідно до Міжнародних стандартів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видання 2016-2017 років (надалі - МСА) та Закону України «Про аудит фінансової звітності та аудиторську діяльність».</w:t>
      </w:r>
    </w:p>
    <w:p w:rsidR="00F54CBE" w:rsidRDefault="006A1E48">
      <w:pPr>
        <w:ind w:left="-13" w:right="220"/>
      </w:pPr>
      <w:r>
        <w:t>Наша відповідальність відповідно до цих стандартів додатково викладена в розділі «</w:t>
      </w:r>
      <w:r>
        <w:rPr>
          <w:i/>
        </w:rPr>
        <w:t>Відповідальність аудитора за аудит фінансової звітності</w:t>
      </w:r>
      <w:r>
        <w:t xml:space="preserve">» нашого звіту.   </w:t>
      </w:r>
    </w:p>
    <w:p w:rsidR="00F54CBE" w:rsidRDefault="006A1E48">
      <w:pPr>
        <w:ind w:left="-13" w:right="220"/>
      </w:pPr>
      <w:r>
        <w:t>Ми вважаємо, що отримані нами аудиторські докази є достатніми і прийнятними для використання їх як основи для нашої думки із застереженням.</w:t>
      </w:r>
    </w:p>
    <w:p w:rsidR="00F54CBE" w:rsidRDefault="00F54CBE">
      <w:pPr>
        <w:spacing w:after="0" w:line="259" w:lineRule="auto"/>
        <w:ind w:right="0" w:firstLine="0"/>
        <w:jc w:val="left"/>
      </w:pPr>
    </w:p>
    <w:p w:rsidR="00F54CBE" w:rsidRPr="004F6AB8" w:rsidRDefault="006A1E48">
      <w:pPr>
        <w:spacing w:after="0" w:line="259" w:lineRule="auto"/>
        <w:ind w:right="0" w:firstLine="0"/>
        <w:jc w:val="left"/>
        <w:rPr>
          <w:b/>
        </w:rPr>
      </w:pPr>
      <w:r w:rsidRPr="004F6AB8">
        <w:rPr>
          <w:b/>
        </w:rPr>
        <w:lastRenderedPageBreak/>
        <w:t>НЕЗАЛЕЖНІСТЬ</w:t>
      </w:r>
    </w:p>
    <w:p w:rsidR="00F54CBE" w:rsidRDefault="00F54CBE">
      <w:pPr>
        <w:spacing w:after="0" w:line="259" w:lineRule="auto"/>
        <w:ind w:left="568" w:right="0" w:firstLine="0"/>
        <w:jc w:val="left"/>
      </w:pPr>
    </w:p>
    <w:p w:rsidR="00F54CBE" w:rsidRDefault="006A1E48">
      <w:pPr>
        <w:ind w:left="-13" w:right="220"/>
      </w:pPr>
      <w:r>
        <w:t xml:space="preserve">Ми є незалежними по відношенню до підприємства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w:t>
      </w:r>
    </w:p>
    <w:p w:rsidR="00F54CBE" w:rsidRDefault="00F54CBE">
      <w:pPr>
        <w:spacing w:after="0" w:line="259" w:lineRule="auto"/>
        <w:ind w:left="568" w:right="0" w:firstLine="0"/>
        <w:jc w:val="left"/>
      </w:pPr>
    </w:p>
    <w:p w:rsidR="00F54CBE" w:rsidRPr="004F6AB8" w:rsidRDefault="006A1E48" w:rsidP="00116E10">
      <w:pPr>
        <w:spacing w:after="0" w:line="259" w:lineRule="auto"/>
        <w:ind w:left="568" w:right="0" w:hanging="568"/>
        <w:jc w:val="left"/>
        <w:rPr>
          <w:b/>
        </w:rPr>
      </w:pPr>
      <w:r w:rsidRPr="004F6AB8">
        <w:rPr>
          <w:b/>
        </w:rPr>
        <w:t>ПОЯСНЮВАЛЬНИЙ ПАРАГРАФ</w:t>
      </w:r>
    </w:p>
    <w:p w:rsidR="00F54CBE" w:rsidRDefault="00F54CBE">
      <w:pPr>
        <w:spacing w:after="0" w:line="259" w:lineRule="auto"/>
        <w:ind w:right="0" w:firstLine="0"/>
        <w:jc w:val="left"/>
      </w:pPr>
    </w:p>
    <w:p w:rsidR="00F54CBE" w:rsidRDefault="006A1E48">
      <w:pPr>
        <w:pStyle w:val="3"/>
        <w:ind w:right="218"/>
      </w:pPr>
      <w:r>
        <w:t xml:space="preserve">Політична та економічна ситуація в Україні </w:t>
      </w:r>
    </w:p>
    <w:p w:rsidR="00F54CBE" w:rsidRDefault="006A1E48">
      <w:pPr>
        <w:ind w:left="-13" w:right="220"/>
      </w:pPr>
      <w:r>
        <w:t xml:space="preserve">Ми звертаємо увагу що свою діяльність підприємство здійснює в Україні. Наслідками політичної та економічної кризи в Україні є такі явища як нестабільність податкового та господарського законодавства, зниження платоспроможності боржників. Остаточний влив і наслідки політичної та економічної кризи передбачити вкрай складно, проте вони можуть мати подальший негативний вплив на економіку України та бізнес підприємства.  </w:t>
      </w:r>
    </w:p>
    <w:p w:rsidR="00F54CBE" w:rsidRDefault="006A1E48">
      <w:pPr>
        <w:ind w:left="-13" w:right="220"/>
      </w:pPr>
      <w:r>
        <w:t xml:space="preserve">Уряд України продовжує здійснювати комплексну програму структурної реформи, спрямованої на усунення існуючих диспропорцій в економіці, державних фінансах та управлінні, боротьбі з корупцією, реформування судової системи з кінцевою метою забезпечити умови для відновлення економіки в країні. </w:t>
      </w:r>
    </w:p>
    <w:p w:rsidR="00F54CBE" w:rsidRDefault="006A1E48">
      <w:pPr>
        <w:spacing w:after="50"/>
        <w:ind w:left="-13" w:right="220"/>
      </w:pPr>
      <w:r>
        <w:t xml:space="preserve">При складанні цієї фінансової звітності враховувалися всі відомі фактори, вплив яких на фінансовий стан і результати діяльності підприємства можливо оцінити. </w:t>
      </w:r>
    </w:p>
    <w:p w:rsidR="00F54CBE" w:rsidRDefault="006A1E48">
      <w:pPr>
        <w:spacing w:after="47"/>
        <w:ind w:left="-13" w:right="220"/>
      </w:pPr>
      <w:r>
        <w:t xml:space="preserve">Керівництво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у політичній ситуації, макроекономічних умовах та умовах зовнішньої торгівлі може і далі негативно впливати  на діяльність підприємства у такий спосіб, що наразі не може бути визначений. Керівництво вважає, що їм здійснюються всі заходи, необхідні для підтримки стабільної діяльності та розвитку підприємства. </w:t>
      </w:r>
    </w:p>
    <w:p w:rsidR="00F54CBE" w:rsidRDefault="006A1E48">
      <w:pPr>
        <w:ind w:left="-13" w:right="220"/>
      </w:pPr>
      <w:r>
        <w:t xml:space="preserve">Дана фінансова звітність не включає ніяких коригувань, які можуть мати місце в результаті такої невизначеності. Про необхідність таких корегувань буде повідомлено, якщо вони стануть відомі і зможуть бути оцінені. </w:t>
      </w:r>
    </w:p>
    <w:p w:rsidR="00F54CBE" w:rsidRDefault="006A1E48">
      <w:pPr>
        <w:ind w:left="568" w:right="220" w:firstLine="0"/>
      </w:pPr>
      <w:r>
        <w:t xml:space="preserve">Висловлюючи нашу думку ми не  враховували ці питання. </w:t>
      </w:r>
    </w:p>
    <w:p w:rsidR="00F54CBE" w:rsidRDefault="00F54CBE">
      <w:pPr>
        <w:ind w:left="568" w:right="220" w:firstLine="0"/>
      </w:pPr>
    </w:p>
    <w:p w:rsidR="00F54CBE" w:rsidRPr="004F6AB8" w:rsidRDefault="006A1E48" w:rsidP="00116E10">
      <w:pPr>
        <w:ind w:left="0" w:right="220" w:firstLine="142"/>
        <w:rPr>
          <w:b/>
        </w:rPr>
      </w:pPr>
      <w:r w:rsidRPr="004F6AB8">
        <w:rPr>
          <w:b/>
        </w:rPr>
        <w:t>КЛЮЧОВІ ПИТАННЯ АУДИТУ</w:t>
      </w:r>
    </w:p>
    <w:p w:rsidR="00F54CBE" w:rsidRDefault="00F54CBE">
      <w:pPr>
        <w:spacing w:after="0" w:line="259" w:lineRule="auto"/>
        <w:ind w:left="568" w:right="0" w:firstLine="0"/>
        <w:jc w:val="left"/>
      </w:pPr>
    </w:p>
    <w:p w:rsidR="00F54CBE" w:rsidRDefault="006A1E48">
      <w:pPr>
        <w:ind w:left="-13" w:right="220"/>
      </w:pPr>
      <w:r>
        <w:t xml:space="preserve">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F54CBE" w:rsidRDefault="006A1E48">
      <w:pPr>
        <w:ind w:left="-13" w:right="220"/>
      </w:pPr>
      <w:r>
        <w:lastRenderedPageBreak/>
        <w:t xml:space="preserve">Крім питань, викладених у розділі «Основа для думки із застереженнями», ми визначили наступне ключове питання аудиту, інформацію щодо якого надаємо в нашому звіті. </w:t>
      </w:r>
    </w:p>
    <w:p w:rsidR="004F6AB8" w:rsidRDefault="004F6AB8">
      <w:pPr>
        <w:ind w:left="-13" w:right="220"/>
      </w:pPr>
    </w:p>
    <w:p w:rsidR="004F6AB8" w:rsidRDefault="004F6AB8">
      <w:pPr>
        <w:ind w:left="-13" w:right="220"/>
      </w:pPr>
    </w:p>
    <w:p w:rsidR="004F6AB8" w:rsidRDefault="004F6AB8">
      <w:pPr>
        <w:ind w:left="-13" w:right="220"/>
      </w:pPr>
    </w:p>
    <w:p w:rsidR="004F6AB8" w:rsidRDefault="004F6AB8">
      <w:pPr>
        <w:ind w:left="-13" w:right="220"/>
      </w:pPr>
    </w:p>
    <w:p w:rsidR="004F6AB8" w:rsidRDefault="004F6AB8">
      <w:pPr>
        <w:ind w:left="-13" w:right="220"/>
      </w:pPr>
    </w:p>
    <w:tbl>
      <w:tblPr>
        <w:tblStyle w:val="a6"/>
        <w:tblW w:w="9240" w:type="dxa"/>
        <w:tblInd w:w="3" w:type="dxa"/>
        <w:tblLayout w:type="fixed"/>
        <w:tblLook w:val="0400" w:firstRow="0" w:lastRow="0" w:firstColumn="0" w:lastColumn="0" w:noHBand="0" w:noVBand="1"/>
      </w:tblPr>
      <w:tblGrid>
        <w:gridCol w:w="594"/>
        <w:gridCol w:w="3970"/>
        <w:gridCol w:w="4676"/>
      </w:tblGrid>
      <w:tr w:rsidR="00F54CBE">
        <w:trPr>
          <w:trHeight w:val="500"/>
        </w:trPr>
        <w:tc>
          <w:tcPr>
            <w:tcW w:w="594" w:type="dxa"/>
            <w:tcBorders>
              <w:top w:val="single" w:sz="4" w:space="0" w:color="000000"/>
              <w:left w:val="single" w:sz="4" w:space="0" w:color="000000"/>
              <w:bottom w:val="single" w:sz="4" w:space="0" w:color="000000"/>
              <w:right w:val="single" w:sz="4" w:space="0" w:color="000000"/>
            </w:tcBorders>
            <w:shd w:val="clear" w:color="auto" w:fill="FFE599"/>
          </w:tcPr>
          <w:p w:rsidR="00F54CBE" w:rsidRPr="004F6AB8" w:rsidRDefault="006A1E48">
            <w:pPr>
              <w:spacing w:line="259" w:lineRule="auto"/>
              <w:ind w:left="89" w:right="0" w:firstLine="0"/>
              <w:jc w:val="left"/>
              <w:rPr>
                <w:b/>
                <w:color w:val="000000" w:themeColor="text1"/>
              </w:rPr>
            </w:pPr>
            <w:r w:rsidRPr="004F6AB8">
              <w:rPr>
                <w:b/>
                <w:color w:val="000000" w:themeColor="text1"/>
                <w:sz w:val="22"/>
                <w:szCs w:val="22"/>
              </w:rPr>
              <w:t xml:space="preserve">№ </w:t>
            </w:r>
          </w:p>
          <w:p w:rsidR="00F54CBE" w:rsidRPr="004F6AB8" w:rsidRDefault="006A1E48">
            <w:pPr>
              <w:spacing w:line="259" w:lineRule="auto"/>
              <w:ind w:left="55" w:right="0" w:firstLine="0"/>
              <w:jc w:val="left"/>
              <w:rPr>
                <w:b/>
                <w:color w:val="000000" w:themeColor="text1"/>
              </w:rPr>
            </w:pPr>
            <w:r w:rsidRPr="004F6AB8">
              <w:rPr>
                <w:b/>
                <w:color w:val="000000" w:themeColor="text1"/>
                <w:sz w:val="22"/>
                <w:szCs w:val="22"/>
              </w:rPr>
              <w:t xml:space="preserve">з/п </w:t>
            </w:r>
          </w:p>
        </w:tc>
        <w:tc>
          <w:tcPr>
            <w:tcW w:w="3970" w:type="dxa"/>
            <w:tcBorders>
              <w:top w:val="single" w:sz="4" w:space="0" w:color="000000"/>
              <w:left w:val="single" w:sz="4" w:space="0" w:color="000000"/>
              <w:bottom w:val="single" w:sz="4" w:space="0" w:color="000000"/>
              <w:right w:val="single" w:sz="4" w:space="0" w:color="000000"/>
            </w:tcBorders>
            <w:shd w:val="clear" w:color="auto" w:fill="FFE599"/>
          </w:tcPr>
          <w:p w:rsidR="00F54CBE" w:rsidRPr="004F6AB8" w:rsidRDefault="006A1E48">
            <w:pPr>
              <w:spacing w:line="259" w:lineRule="auto"/>
              <w:ind w:left="0" w:right="59" w:firstLine="0"/>
              <w:jc w:val="center"/>
              <w:rPr>
                <w:b/>
                <w:color w:val="000000" w:themeColor="text1"/>
              </w:rPr>
            </w:pPr>
            <w:r w:rsidRPr="004F6AB8">
              <w:rPr>
                <w:b/>
                <w:color w:val="000000" w:themeColor="text1"/>
                <w:sz w:val="22"/>
                <w:szCs w:val="22"/>
              </w:rPr>
              <w:t xml:space="preserve">Ключове питання аудиту </w:t>
            </w:r>
          </w:p>
        </w:tc>
        <w:tc>
          <w:tcPr>
            <w:tcW w:w="4676" w:type="dxa"/>
            <w:tcBorders>
              <w:top w:val="single" w:sz="4" w:space="0" w:color="000000"/>
              <w:left w:val="single" w:sz="4" w:space="0" w:color="000000"/>
              <w:bottom w:val="single" w:sz="4" w:space="0" w:color="000000"/>
              <w:right w:val="single" w:sz="4" w:space="0" w:color="000000"/>
            </w:tcBorders>
            <w:shd w:val="clear" w:color="auto" w:fill="FFE599"/>
          </w:tcPr>
          <w:p w:rsidR="00F54CBE" w:rsidRPr="004F6AB8" w:rsidRDefault="006A1E48">
            <w:pPr>
              <w:spacing w:line="259" w:lineRule="auto"/>
              <w:ind w:left="0" w:right="0" w:firstLine="0"/>
              <w:jc w:val="center"/>
              <w:rPr>
                <w:b/>
                <w:color w:val="000000" w:themeColor="text1"/>
              </w:rPr>
            </w:pPr>
            <w:r w:rsidRPr="004F6AB8">
              <w:rPr>
                <w:b/>
                <w:color w:val="000000" w:themeColor="text1"/>
                <w:sz w:val="22"/>
                <w:szCs w:val="22"/>
              </w:rPr>
              <w:t xml:space="preserve">Аудиторські процедури стосовно ключового питання </w:t>
            </w:r>
          </w:p>
        </w:tc>
      </w:tr>
      <w:tr w:rsidR="00F54CBE">
        <w:trPr>
          <w:trHeight w:val="7080"/>
        </w:trPr>
        <w:tc>
          <w:tcPr>
            <w:tcW w:w="594" w:type="dxa"/>
            <w:tcBorders>
              <w:top w:val="single" w:sz="4" w:space="0" w:color="000000"/>
              <w:left w:val="single" w:sz="4" w:space="0" w:color="000000"/>
              <w:bottom w:val="single" w:sz="4" w:space="0" w:color="000000"/>
              <w:right w:val="single" w:sz="4" w:space="0" w:color="000000"/>
            </w:tcBorders>
          </w:tcPr>
          <w:p w:rsidR="00F54CBE" w:rsidRDefault="006A1E48">
            <w:pPr>
              <w:spacing w:line="259" w:lineRule="auto"/>
              <w:ind w:left="0" w:right="0" w:firstLine="0"/>
              <w:jc w:val="left"/>
            </w:pPr>
            <w:r>
              <w:rPr>
                <w:sz w:val="22"/>
                <w:szCs w:val="22"/>
              </w:rPr>
              <w:t xml:space="preserve">1. </w:t>
            </w:r>
          </w:p>
        </w:tc>
        <w:tc>
          <w:tcPr>
            <w:tcW w:w="3970" w:type="dxa"/>
            <w:tcBorders>
              <w:top w:val="single" w:sz="4" w:space="0" w:color="000000"/>
              <w:left w:val="single" w:sz="4" w:space="0" w:color="000000"/>
              <w:bottom w:val="single" w:sz="4" w:space="0" w:color="000000"/>
              <w:right w:val="single" w:sz="4" w:space="0" w:color="000000"/>
            </w:tcBorders>
          </w:tcPr>
          <w:p w:rsidR="00F54CBE" w:rsidRDefault="006A1E48">
            <w:pPr>
              <w:spacing w:after="1"/>
              <w:ind w:right="55" w:firstLine="0"/>
            </w:pPr>
            <w:r>
              <w:rPr>
                <w:i/>
                <w:sz w:val="22"/>
                <w:szCs w:val="22"/>
              </w:rPr>
              <w:t>Повнота та своєчасність визнання виручки від основної діяльності.</w:t>
            </w:r>
          </w:p>
          <w:p w:rsidR="00F54CBE" w:rsidRDefault="006A1E48">
            <w:pPr>
              <w:spacing w:after="2"/>
              <w:ind w:right="54" w:firstLine="0"/>
              <w:rPr>
                <w:sz w:val="22"/>
                <w:szCs w:val="22"/>
              </w:rPr>
            </w:pPr>
            <w:r>
              <w:rPr>
                <w:sz w:val="22"/>
                <w:szCs w:val="22"/>
              </w:rPr>
              <w:t xml:space="preserve">Основною діяльністю підприємства є </w:t>
            </w:r>
          </w:p>
          <w:p w:rsidR="00F54CBE" w:rsidRDefault="006A1E48">
            <w:pPr>
              <w:spacing w:line="259" w:lineRule="auto"/>
              <w:ind w:left="0" w:right="0" w:firstLine="0"/>
            </w:pPr>
            <w:r>
              <w:rPr>
                <w:sz w:val="22"/>
                <w:szCs w:val="22"/>
              </w:rPr>
              <w:t xml:space="preserve">надання послуг з відведення й очищення стічних вод. В рамках здійснення даної діяльності підприємство укладає договори надання послуг з контрагентами і щомісяця відображає фізичні обсяги реалізації на підставі даних обліку приладів.  </w:t>
            </w:r>
          </w:p>
          <w:p w:rsidR="00F54CBE" w:rsidRDefault="00F54CBE">
            <w:pPr>
              <w:spacing w:line="259"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F54CBE" w:rsidRDefault="006A1E48">
            <w:pPr>
              <w:ind w:right="52" w:firstLine="0"/>
            </w:pPr>
            <w:r>
              <w:rPr>
                <w:sz w:val="22"/>
                <w:szCs w:val="22"/>
              </w:rPr>
              <w:t xml:space="preserve">Ми приділили значну увагу побудові системи обліку, документообігу та внутрішнього контролю, зокрема в частині, що стосується повноти та своєчасності визнання доходів в бухгалтерському обліку та правильності відображення такої інформації в  фінансовій звітності підприємства. </w:t>
            </w:r>
          </w:p>
          <w:p w:rsidR="00F54CBE" w:rsidRDefault="006A1E48">
            <w:pPr>
              <w:spacing w:after="2"/>
              <w:ind w:right="51" w:firstLine="0"/>
            </w:pPr>
            <w:r>
              <w:rPr>
                <w:sz w:val="22"/>
                <w:szCs w:val="22"/>
              </w:rPr>
              <w:t xml:space="preserve">Ми обговорили з керівництвом існуючу систему внутрішнього контролю обліку реалізації послуг. </w:t>
            </w:r>
          </w:p>
          <w:p w:rsidR="00F54CBE" w:rsidRDefault="006A1E48">
            <w:pPr>
              <w:ind w:right="52" w:firstLine="0"/>
            </w:pPr>
            <w:r>
              <w:rPr>
                <w:sz w:val="22"/>
                <w:szCs w:val="22"/>
              </w:rPr>
              <w:t xml:space="preserve">Нами були застосовані як процедури зовнішнього підтвердження (надання запитів споживачам), так і альтернативні процедури, зокрема, звіряння реєстрів обліку, перевірки первинних документів, тестування відповідності відображення інформації в бухгалтерських реєстрах даним первинних документів. </w:t>
            </w:r>
          </w:p>
          <w:p w:rsidR="00F54CBE" w:rsidRDefault="006A1E48">
            <w:pPr>
              <w:spacing w:line="259" w:lineRule="auto"/>
              <w:ind w:right="52" w:firstLine="0"/>
            </w:pPr>
            <w:r>
              <w:rPr>
                <w:sz w:val="22"/>
                <w:szCs w:val="22"/>
              </w:rPr>
              <w:t xml:space="preserve">Вибірково ми перевірили точність розрахунків з нарахування, правильність застосування тарифів, перевірили вихідні дані відповідних джерел. </w:t>
            </w:r>
          </w:p>
        </w:tc>
      </w:tr>
      <w:tr w:rsidR="00F54CBE">
        <w:trPr>
          <w:trHeight w:val="3280"/>
        </w:trPr>
        <w:tc>
          <w:tcPr>
            <w:tcW w:w="594" w:type="dxa"/>
            <w:tcBorders>
              <w:top w:val="single" w:sz="4" w:space="0" w:color="000000"/>
              <w:left w:val="single" w:sz="4" w:space="0" w:color="000000"/>
              <w:bottom w:val="single" w:sz="4" w:space="0" w:color="000000"/>
              <w:right w:val="single" w:sz="4" w:space="0" w:color="000000"/>
            </w:tcBorders>
          </w:tcPr>
          <w:p w:rsidR="00F54CBE" w:rsidRDefault="006A1E48">
            <w:pPr>
              <w:spacing w:line="259" w:lineRule="auto"/>
              <w:ind w:left="0" w:right="0" w:firstLine="0"/>
              <w:jc w:val="left"/>
            </w:pPr>
            <w:r>
              <w:rPr>
                <w:sz w:val="22"/>
                <w:szCs w:val="22"/>
              </w:rPr>
              <w:t xml:space="preserve">2 </w:t>
            </w:r>
          </w:p>
        </w:tc>
        <w:tc>
          <w:tcPr>
            <w:tcW w:w="3970" w:type="dxa"/>
            <w:tcBorders>
              <w:top w:val="single" w:sz="4" w:space="0" w:color="000000"/>
              <w:left w:val="single" w:sz="4" w:space="0" w:color="000000"/>
              <w:bottom w:val="single" w:sz="4" w:space="0" w:color="000000"/>
              <w:right w:val="single" w:sz="4" w:space="0" w:color="000000"/>
            </w:tcBorders>
          </w:tcPr>
          <w:p w:rsidR="00F54CBE" w:rsidRDefault="006A1E48">
            <w:pPr>
              <w:ind w:right="55" w:firstLine="0"/>
              <w:rPr>
                <w:i/>
                <w:sz w:val="22"/>
                <w:szCs w:val="22"/>
              </w:rPr>
            </w:pPr>
            <w:r>
              <w:rPr>
                <w:i/>
                <w:sz w:val="22"/>
                <w:szCs w:val="22"/>
              </w:rPr>
              <w:t>Формування собівартості послуг.</w:t>
            </w:r>
          </w:p>
          <w:p w:rsidR="00F54CBE" w:rsidRDefault="00F54CBE">
            <w:pPr>
              <w:spacing w:line="259"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F54CBE" w:rsidRDefault="006A1E48">
            <w:pPr>
              <w:spacing w:line="259" w:lineRule="auto"/>
              <w:ind w:right="52" w:firstLine="0"/>
            </w:pPr>
            <w:bookmarkStart w:id="1" w:name="_gjdgxs" w:colFirst="0" w:colLast="0"/>
            <w:bookmarkEnd w:id="1"/>
            <w:r>
              <w:rPr>
                <w:sz w:val="22"/>
                <w:szCs w:val="22"/>
              </w:rPr>
              <w:t xml:space="preserve">Нами було перевірено правильність формування собівартості послуг, що надаються підприємством, зокрема, основного виду послуг з відведення й очищення стічних вод. Нами була вивчена нормативна база, якої дотримувалося підприємство в ході власної діяльності, норми облікової політики та інших внутрішніх положень  формування собівартості. За основними видами витрат нами були проведені процедури зовнішнього підтвердження витрат, альтернативні процедури перевірки первинних документів, договорів, реєстрів обліку, а також аналітичні процедури перерахунку.   </w:t>
            </w:r>
          </w:p>
        </w:tc>
      </w:tr>
      <w:tr w:rsidR="00F54CBE">
        <w:trPr>
          <w:trHeight w:val="13160"/>
        </w:trPr>
        <w:tc>
          <w:tcPr>
            <w:tcW w:w="594" w:type="dxa"/>
            <w:tcBorders>
              <w:top w:val="single" w:sz="4" w:space="0" w:color="000000"/>
              <w:left w:val="single" w:sz="4" w:space="0" w:color="000000"/>
              <w:bottom w:val="single" w:sz="4" w:space="0" w:color="000000"/>
              <w:right w:val="single" w:sz="4" w:space="0" w:color="000000"/>
            </w:tcBorders>
          </w:tcPr>
          <w:p w:rsidR="00F54CBE" w:rsidRDefault="006A1E48">
            <w:pPr>
              <w:spacing w:line="259" w:lineRule="auto"/>
              <w:ind w:left="0" w:right="0" w:firstLine="0"/>
              <w:jc w:val="left"/>
            </w:pPr>
            <w:r>
              <w:rPr>
                <w:sz w:val="22"/>
                <w:szCs w:val="22"/>
              </w:rPr>
              <w:lastRenderedPageBreak/>
              <w:t xml:space="preserve">3 </w:t>
            </w:r>
          </w:p>
        </w:tc>
        <w:tc>
          <w:tcPr>
            <w:tcW w:w="3970" w:type="dxa"/>
            <w:tcBorders>
              <w:top w:val="single" w:sz="4" w:space="0" w:color="000000"/>
              <w:left w:val="single" w:sz="4" w:space="0" w:color="000000"/>
              <w:bottom w:val="single" w:sz="4" w:space="0" w:color="000000"/>
              <w:right w:val="single" w:sz="4" w:space="0" w:color="000000"/>
            </w:tcBorders>
          </w:tcPr>
          <w:p w:rsidR="00F54CBE" w:rsidRDefault="006A1E48">
            <w:pPr>
              <w:tabs>
                <w:tab w:val="center" w:pos="2387"/>
                <w:tab w:val="right" w:pos="3812"/>
              </w:tabs>
              <w:spacing w:line="259" w:lineRule="auto"/>
              <w:ind w:left="0" w:right="0" w:firstLine="0"/>
              <w:jc w:val="left"/>
              <w:rPr>
                <w:i/>
                <w:sz w:val="22"/>
                <w:szCs w:val="22"/>
              </w:rPr>
            </w:pPr>
            <w:r>
              <w:rPr>
                <w:i/>
                <w:sz w:val="22"/>
                <w:szCs w:val="22"/>
              </w:rPr>
              <w:t xml:space="preserve">Безперервність </w:t>
            </w:r>
            <w:r>
              <w:rPr>
                <w:i/>
                <w:sz w:val="22"/>
                <w:szCs w:val="22"/>
              </w:rPr>
              <w:tab/>
              <w:t>діяльності.</w:t>
            </w:r>
            <w:r>
              <w:rPr>
                <w:i/>
                <w:sz w:val="22"/>
                <w:szCs w:val="22"/>
              </w:rPr>
              <w:tab/>
            </w:r>
          </w:p>
          <w:p w:rsidR="00F54CBE" w:rsidRDefault="00F54CBE">
            <w:pPr>
              <w:spacing w:line="259" w:lineRule="auto"/>
              <w:ind w:left="0"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F54CBE" w:rsidRDefault="006A1E48">
            <w:pPr>
              <w:spacing w:after="2"/>
              <w:ind w:left="0" w:right="53" w:firstLine="0"/>
            </w:pPr>
            <w:r>
              <w:rPr>
                <w:sz w:val="22"/>
                <w:szCs w:val="22"/>
              </w:rPr>
              <w:t xml:space="preserve">Діяльність підприємств в Україні відбувалась та відбувається в умовах політичних та економічних змін, в умовах фінансової нестабільності та недосконалості законодавства. Майбутній розвиток зазначених факторів, їх наслідок та вплив на функціонування економіки – невідомі. Аудиторами були ідентифіковані певні умови та події, які потенційно можуть мати ризики щодо порушення принципу безперервності діяльності підприємства.  </w:t>
            </w:r>
          </w:p>
          <w:p w:rsidR="00F54CBE" w:rsidRDefault="006A1E48">
            <w:pPr>
              <w:ind w:left="0" w:right="52" w:firstLine="0"/>
            </w:pPr>
            <w:r>
              <w:rPr>
                <w:sz w:val="22"/>
                <w:szCs w:val="22"/>
              </w:rPr>
              <w:t xml:space="preserve">Задля отримання достатніх та доречних доказів щодо можливості підприємства функціонувати на безперервній основі аудиторами були проведено ознайомлення з рішеннями найвищого органу управління, обговорення та отримання пояснень щодо проведення  керівним персоналом відповідних заходів, проаналізована фінансова звітність на останню звітну дату та оцінені фінансові показники діяльності на момент аудиту. Також аудиторами були вивчені всі незакінчені судові справи, в яких підприємство виступає стороною, проведені обговорення всіх аспектів та можливих наслідків з керівним персоналом, юристами підприємства та зовнішніми юристами. </w:t>
            </w:r>
          </w:p>
          <w:p w:rsidR="00F54CBE" w:rsidRDefault="006A1E48">
            <w:pPr>
              <w:spacing w:after="1"/>
              <w:ind w:left="0" w:right="53" w:firstLine="0"/>
            </w:pPr>
            <w:r>
              <w:rPr>
                <w:sz w:val="22"/>
                <w:szCs w:val="22"/>
              </w:rPr>
              <w:t xml:space="preserve">Керівництво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у політичній ситуації, макроекономічних умовах може і далі негативно впливати  на діяльність підприємства у такий спосіб, що наразі не може бути визначений. Керівництво вважає, що ним здійснюються всі заходи, необхідні для підтримки стабільної діяльності та розвитку підприємства. </w:t>
            </w:r>
          </w:p>
          <w:p w:rsidR="00F54CBE" w:rsidRDefault="006A1E48">
            <w:pPr>
              <w:spacing w:after="4"/>
              <w:ind w:left="0" w:right="53" w:firstLine="0"/>
            </w:pPr>
            <w:r>
              <w:rPr>
                <w:sz w:val="22"/>
                <w:szCs w:val="22"/>
              </w:rPr>
              <w:t xml:space="preserve">Дана фінансова звітність не включає ніяких коригувань, які можуть мати місце в результаті такої невизначеності. Про необхідність таких корегувань буде повідомлено, якщо вони стануть відомі і зможуть бути оцінені. </w:t>
            </w:r>
          </w:p>
          <w:p w:rsidR="00F54CBE" w:rsidRDefault="006A1E48">
            <w:pPr>
              <w:spacing w:line="259" w:lineRule="auto"/>
              <w:ind w:left="0" w:right="53" w:firstLine="0"/>
            </w:pPr>
            <w:r>
              <w:rPr>
                <w:sz w:val="22"/>
                <w:szCs w:val="22"/>
              </w:rPr>
              <w:t xml:space="preserve">В результаті проведення вказаних аудиторських процедур аудитори вважають, що отримали достатні та доречні докази того, що підприємство </w:t>
            </w:r>
            <w:proofErr w:type="spellStart"/>
            <w:r>
              <w:rPr>
                <w:sz w:val="22"/>
                <w:szCs w:val="22"/>
              </w:rPr>
              <w:t>здатно</w:t>
            </w:r>
            <w:proofErr w:type="spellEnd"/>
            <w:r>
              <w:rPr>
                <w:sz w:val="22"/>
                <w:szCs w:val="22"/>
              </w:rPr>
              <w:t xml:space="preserve"> функціонувати на безперервній основі принаймні на протязі 12 місяців  від дати звітності. </w:t>
            </w:r>
          </w:p>
        </w:tc>
      </w:tr>
    </w:tbl>
    <w:p w:rsidR="00F54CBE" w:rsidRDefault="00F54CBE">
      <w:pPr>
        <w:spacing w:after="0" w:line="259" w:lineRule="auto"/>
        <w:ind w:left="568" w:right="0" w:firstLine="0"/>
      </w:pPr>
    </w:p>
    <w:p w:rsidR="00F54CBE" w:rsidRDefault="00F54CBE">
      <w:pPr>
        <w:spacing w:after="0" w:line="259" w:lineRule="auto"/>
        <w:ind w:left="568" w:right="0" w:firstLine="0"/>
        <w:jc w:val="left"/>
      </w:pPr>
    </w:p>
    <w:p w:rsidR="00F54CBE" w:rsidRDefault="00F54CBE"/>
    <w:p w:rsidR="00F54CBE" w:rsidRDefault="00F54CBE"/>
    <w:p w:rsidR="00116E10" w:rsidRDefault="00116E10"/>
    <w:p w:rsidR="00F54CBE" w:rsidRPr="00116E10" w:rsidRDefault="006A1E48">
      <w:pPr>
        <w:rPr>
          <w:b/>
        </w:rPr>
      </w:pPr>
      <w:r w:rsidRPr="00116E10">
        <w:rPr>
          <w:b/>
        </w:rPr>
        <w:lastRenderedPageBreak/>
        <w:t>НАША МЕТОДОЛОГІЯ АУДИТУ</w:t>
      </w:r>
    </w:p>
    <w:p w:rsidR="00F54CBE" w:rsidRDefault="00F54CBE">
      <w:pPr>
        <w:spacing w:after="0" w:line="259" w:lineRule="auto"/>
        <w:ind w:left="429" w:right="0" w:firstLine="0"/>
        <w:jc w:val="left"/>
      </w:pPr>
    </w:p>
    <w:p w:rsidR="00F54CBE" w:rsidRDefault="006A1E48">
      <w:pPr>
        <w:ind w:left="-13" w:right="220" w:firstLine="427"/>
      </w:pPr>
      <w:r>
        <w:t xml:space="preserve">Наша методологія аудиту передбачає визначення суттєвості і оцінку ризиків суттєвого викривлення фінансової звітності. Зокрема, ми проаналізували, в яких областях керівництво виносило суб'єктивного судження, наприклад, щодо значущих бухгалтерських оцінок, що включало застосування припущень і розгляд майбутніх подій, з якими в силу їх характеру пов'язана невизначеності. Ми також розглянули ризик обходу засобів внутрішнього контролю керівництвом, включаючи, крім іншого, оцінку наявності ознак необ'єктивності керівництва, яка створює ризик істотного спотворення внаслідок недобросовісних дій. </w:t>
      </w:r>
    </w:p>
    <w:p w:rsidR="00F54CBE" w:rsidRDefault="00F54CBE">
      <w:pPr>
        <w:spacing w:after="0" w:line="259" w:lineRule="auto"/>
        <w:ind w:right="0" w:firstLine="0"/>
        <w:jc w:val="left"/>
      </w:pPr>
    </w:p>
    <w:p w:rsidR="00F54CBE" w:rsidRDefault="006A1E48">
      <w:pPr>
        <w:pStyle w:val="3"/>
        <w:ind w:left="563" w:right="218"/>
      </w:pPr>
      <w:r>
        <w:t xml:space="preserve">Визначення обсягу аудиту  </w:t>
      </w:r>
    </w:p>
    <w:p w:rsidR="00F54CBE" w:rsidRDefault="006A1E48">
      <w:pPr>
        <w:spacing w:after="63" w:line="240" w:lineRule="auto"/>
        <w:ind w:firstLine="566"/>
      </w:pPr>
      <w:r>
        <w:rPr>
          <w:color w:val="212121"/>
        </w:rPr>
        <w:t xml:space="preserve">Обсяг аудиту визначено нами таким чином, щоб ми могли отримати прийнятні аудиторські докази у достатньому обсязі для висловлення нашої думки про те, </w:t>
      </w:r>
      <w:r>
        <w:t>чи складена фінансова звітність у всіх суттєвих аспектах відповідно до застосовної концептуальної основи фінансового звітування</w:t>
      </w:r>
      <w:r>
        <w:rPr>
          <w:color w:val="212121"/>
        </w:rPr>
        <w:t xml:space="preserve"> з урахуванням обґрунтованості облікових оцінок, засобів контролю, а також </w:t>
      </w:r>
      <w:r>
        <w:t xml:space="preserve">специфіки галузі в якій підприємство здійснює свою діяльність. </w:t>
      </w:r>
    </w:p>
    <w:p w:rsidR="00F54CBE" w:rsidRDefault="006A1E48">
      <w:pPr>
        <w:spacing w:after="50"/>
        <w:ind w:left="-13" w:right="220"/>
      </w:pPr>
      <w:r>
        <w:t xml:space="preserve">Аудитори перевіряли фінансову звітність на основі тестування. Рівень тестування, яке ми проводили, ґрунтується на нашій оцінці ризику того, чи стаття у фінансовій звітності може бути суттєво викривлена. У зв'язку з цим наш аудиторський підхід був зосереджено на тих сферах діяльності підприємства, які вважалися нами значними для результатів діяльності за звітний період та фінансового стану на 31.12.2018 р. </w:t>
      </w:r>
    </w:p>
    <w:p w:rsidR="00F54CBE" w:rsidRDefault="006A1E48">
      <w:pPr>
        <w:spacing w:after="47"/>
        <w:ind w:left="-13" w:right="220"/>
      </w:pPr>
      <w:r>
        <w:t xml:space="preserve">Під час розробки плану аудиту, ми отримували розуміння підприємства і його середовища для того, щоб виявити і оцінити ризики суттєвого викривлення фінансової звітності внаслідок шахрайства або помилки. Наш план аудиту був розроблений таким чином, щоб зосередити увагу на виявлених областях значного ризику. </w:t>
      </w:r>
    </w:p>
    <w:p w:rsidR="00F54CBE" w:rsidRDefault="006A1E48">
      <w:pPr>
        <w:spacing w:after="47"/>
        <w:ind w:left="-13" w:right="220"/>
      </w:pPr>
      <w:r>
        <w:t xml:space="preserve">Значні ризики виникають у більшості аудитів та часто пов'язані із бізнес-ризиками, які можуть призвести до суттєвих викривлень, наприклад, внаслідок незвичайних операцій, або застосування управлінським персоналом суджень стосовно статей фінансової звітності, яким властивий високий ступінь невизначеності. </w:t>
      </w:r>
    </w:p>
    <w:p w:rsidR="00F54CBE" w:rsidRDefault="006A1E48">
      <w:pPr>
        <w:spacing w:after="82"/>
        <w:ind w:left="-13" w:right="220"/>
      </w:pPr>
      <w:r>
        <w:t xml:space="preserve">Ми проводили детальне тестування операцій і залишків на кінець періоду, де наш аналіз ризику або результати наших аналітичних процедур вказують на необхідність отримання нами додаткової аудиторської впевненості. З іншого боку, ми покладалися на систему внутрішнього контролю, що діє на підприємства у разі, якщо інші аудиторські процедури виявляються недоцільними або недостатніми. </w:t>
      </w:r>
    </w:p>
    <w:p w:rsidR="00F54CBE" w:rsidRDefault="006A1E48">
      <w:pPr>
        <w:ind w:left="-13" w:right="220" w:firstLine="0"/>
      </w:pPr>
      <w:r>
        <w:tab/>
        <w:t xml:space="preserve">Ми виконували наступні дії у зв’язку зі значними ризиками суттєвого викривлення.  </w:t>
      </w:r>
    </w:p>
    <w:p w:rsidR="00F54CBE" w:rsidRDefault="00F54CBE">
      <w:pPr>
        <w:spacing w:after="40" w:line="259" w:lineRule="auto"/>
        <w:ind w:right="0" w:firstLine="0"/>
        <w:jc w:val="left"/>
      </w:pPr>
    </w:p>
    <w:p w:rsidR="00116E10" w:rsidRDefault="00116E10">
      <w:pPr>
        <w:pStyle w:val="3"/>
        <w:spacing w:after="96"/>
        <w:ind w:left="563" w:right="218"/>
      </w:pPr>
    </w:p>
    <w:p w:rsidR="00F54CBE" w:rsidRDefault="006A1E48">
      <w:pPr>
        <w:pStyle w:val="3"/>
        <w:spacing w:after="96"/>
        <w:ind w:left="563" w:right="218"/>
      </w:pPr>
      <w:r>
        <w:t xml:space="preserve">Аудиторські оцінки </w:t>
      </w:r>
    </w:p>
    <w:p w:rsidR="00F54CBE" w:rsidRDefault="006A1E48">
      <w:pPr>
        <w:ind w:left="-13" w:right="220"/>
      </w:pPr>
      <w:r>
        <w:t xml:space="preserve">При ознайомленні з цим звітом необхідно враховувати обмежений, як зазначено вище характер процедур з оцінки питань, пов’язаних з діяльністю підприємства та організацією системи бухгалтерського обліку та внутрішнього контролю. </w:t>
      </w:r>
    </w:p>
    <w:p w:rsidR="00F54CBE" w:rsidRDefault="006A1E48">
      <w:pPr>
        <w:ind w:left="-13" w:right="220"/>
      </w:pPr>
      <w:r>
        <w:t xml:space="preserve">Крім того, слід враховувати, що критерії оцінки питань, пов’язаних з діяльністю підприємства і організації системи бухгалтерського обліку та внутрішнього контролю, використовувані нами, можуть відрізнятись від критеріїв, що застосовуються підприємством. </w:t>
      </w:r>
    </w:p>
    <w:p w:rsidR="00F54CBE" w:rsidRDefault="006A1E48">
      <w:pPr>
        <w:ind w:left="-13" w:right="220"/>
      </w:pPr>
      <w:r>
        <w:t xml:space="preserve">Наводимо інформацію та відповідні розкриття щодо вищезазначених вимог Закону. </w:t>
      </w:r>
    </w:p>
    <w:p w:rsidR="00F54CBE" w:rsidRDefault="00F54CBE">
      <w:pPr>
        <w:spacing w:after="0" w:line="259" w:lineRule="auto"/>
        <w:ind w:left="568" w:right="0" w:firstLine="0"/>
        <w:jc w:val="left"/>
      </w:pPr>
    </w:p>
    <w:p w:rsidR="00F54CBE" w:rsidRDefault="006A1E48">
      <w:pPr>
        <w:pStyle w:val="3"/>
        <w:ind w:left="563" w:right="218"/>
      </w:pPr>
      <w:r>
        <w:t xml:space="preserve">Опис та оцінка ризиків </w:t>
      </w:r>
    </w:p>
    <w:p w:rsidR="00F54CBE" w:rsidRDefault="006A1E48">
      <w:pPr>
        <w:spacing w:after="154"/>
        <w:ind w:left="-13" w:right="220"/>
      </w:pPr>
      <w:r>
        <w:t xml:space="preserve">Під час аудиту фінансової звітності, за результатами якого складено цей Звіт незалежного аудитора, ми виконали аудиторські процедури оцінки ризиків суттєвого викривлення інформації у фінансовій звітності, що перевірялася, зокрема, внаслідок шахрайства, що включають: </w:t>
      </w:r>
    </w:p>
    <w:p w:rsidR="00F54CBE" w:rsidRDefault="00F54CBE">
      <w:pPr>
        <w:spacing w:after="0" w:line="259" w:lineRule="auto"/>
        <w:ind w:right="0" w:firstLine="0"/>
        <w:jc w:val="left"/>
      </w:pPr>
    </w:p>
    <w:p w:rsidR="00F54CBE" w:rsidRDefault="006A1E48">
      <w:pPr>
        <w:pStyle w:val="3"/>
        <w:ind w:left="563" w:right="218"/>
      </w:pPr>
      <w:r>
        <w:t xml:space="preserve">Ризик втрати ліквідності </w:t>
      </w:r>
    </w:p>
    <w:p w:rsidR="00F54CBE" w:rsidRDefault="006A1E48">
      <w:pPr>
        <w:ind w:left="-13" w:right="220"/>
      </w:pPr>
      <w:r>
        <w:t xml:space="preserve">Підприємства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 справедлива вартість, з метою погашення зобов’язань. </w:t>
      </w:r>
    </w:p>
    <w:p w:rsidR="00F54CBE" w:rsidRDefault="006A1E48">
      <w:pPr>
        <w:spacing w:after="0" w:line="259" w:lineRule="auto"/>
        <w:ind w:left="568" w:right="0" w:firstLine="0"/>
        <w:jc w:val="left"/>
      </w:pPr>
      <w:r>
        <w:rPr>
          <w:i/>
        </w:rPr>
        <w:t xml:space="preserve">Дії у відповідь та вжиті заходи </w:t>
      </w:r>
    </w:p>
    <w:p w:rsidR="00F54CBE" w:rsidRDefault="006A1E48">
      <w:pPr>
        <w:ind w:left="-13" w:right="220"/>
      </w:pPr>
      <w:r>
        <w:t xml:space="preserve">Ми виконали аналітичні процедури по суті  разом із детальними тестами як процедурами по суті відповідно до вимог професійних стандартів щодо відображених сум/або коефіцієнтів, беручи до уваги джерело, порівнянність, характер і відповідність доступної інформації, та заходи внутрішнього контролю за підготовкою фінансової звітності. </w:t>
      </w:r>
    </w:p>
    <w:p w:rsidR="00F54CBE" w:rsidRDefault="006A1E48">
      <w:pPr>
        <w:ind w:left="-13" w:right="220"/>
      </w:pPr>
      <w:r>
        <w:t xml:space="preserve">Ми  проаналізували обставини, що можуть вплинути на коефіцієнти, які використовуються для оцінки фінансового стану, результати діяльності або рух грошових коштів підприємства та можуть призвести до викривлень інформації, зокрема зміни в тенденціях чи важливих коефіцієнтах фінансової звітності або їх співвідношеннях. </w:t>
      </w:r>
    </w:p>
    <w:p w:rsidR="00F54CBE" w:rsidRDefault="006A1E48">
      <w:pPr>
        <w:ind w:left="-13" w:right="220"/>
      </w:pPr>
      <w:r>
        <w:t>Ми виконали процедури зовнішнього підтвердження щодо залишків рахунків дебіторської заборгованості та їх умови, а також провели інспектування документів після завершення періоду та системи внутрішнього контролю підприємства, пов’язаною із сплатою дебіторської заборгованості та інших фінансових активів.</w:t>
      </w:r>
    </w:p>
    <w:p w:rsidR="00F54CBE" w:rsidRDefault="006A1E48">
      <w:pPr>
        <w:ind w:left="-13" w:right="220"/>
      </w:pPr>
      <w:r>
        <w:t xml:space="preserve">В результаті ми встановили, що підприємства проводиться моніторинг показників ліквідності та вживає заходів, для запобігання зниження встановлених показників ліквідності. Такими заходами є постійне підтримання наявності достатнього рівня грошових коштів, ліквідних фінансових ресурсів для виконання зобов’язань при настанні термінів їх погашення. Основу фінансових ресурсів, відмінних від високоліквідних ресурсів - грошових коштів підприємства, складають </w:t>
      </w:r>
      <w:r>
        <w:lastRenderedPageBreak/>
        <w:t xml:space="preserve">розрахунки зі споживачами. Підприємство здійснює постійний моніторинг стану розрахунків споживачів та інших дебіторів за надані послуги, активно застосовуючи механізми впливу на боржників, передбачені законодавством, що дозволяє досягати ефективного стану управління ризиком ліквідності. Підприємство аналізує свої активи та зобов’язання за строками їх погашення та планує свою ліквідність залежно від очікуваних строків виконання зобов’язань за відповідними інструментами. </w:t>
      </w:r>
    </w:p>
    <w:p w:rsidR="00F54CBE" w:rsidRDefault="00F54CBE">
      <w:pPr>
        <w:spacing w:after="0" w:line="259" w:lineRule="auto"/>
        <w:ind w:right="0" w:firstLine="0"/>
        <w:jc w:val="left"/>
      </w:pPr>
    </w:p>
    <w:p w:rsidR="00F54CBE" w:rsidRPr="00116E10" w:rsidRDefault="006A1E48">
      <w:pPr>
        <w:spacing w:after="0" w:line="259" w:lineRule="auto"/>
        <w:ind w:right="0" w:firstLine="0"/>
        <w:jc w:val="left"/>
        <w:rPr>
          <w:b/>
        </w:rPr>
      </w:pPr>
      <w:r w:rsidRPr="00116E10">
        <w:rPr>
          <w:b/>
        </w:rPr>
        <w:t>ВІДПОВІДАЛЬНІСТЬ УПРАВЛІНСЬКОГО ПЕРСОНАЛУ ТА ТИХ, КОГО НАДІЛЕНО НАЙВИЩИМИ ПОВНОВАЖЕННЯМИ</w:t>
      </w:r>
    </w:p>
    <w:p w:rsidR="00F54CBE" w:rsidRDefault="00F54CBE">
      <w:pPr>
        <w:spacing w:after="12" w:line="259" w:lineRule="auto"/>
        <w:ind w:right="0" w:firstLine="0"/>
        <w:jc w:val="left"/>
      </w:pPr>
    </w:p>
    <w:p w:rsidR="00F54CBE" w:rsidRDefault="006A1E48">
      <w:pPr>
        <w:ind w:left="-13" w:right="220"/>
      </w:pPr>
      <w:r>
        <w:t xml:space="preserve">Управлінський персонал несе відповідальність за складання і достовірне подання цієї фінансової звітності у відповідності до Національних положень (стандартів) бухгалтерського обліку та Закону України "Про бухгалтерський облік та фінансову звітність в Україні" від 16.07.1999 р. N 996-XIV, а  також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F54CBE" w:rsidRDefault="006A1E48">
      <w:pPr>
        <w:ind w:left="-13" w:right="220"/>
      </w:pPr>
      <w:r>
        <w:t xml:space="preserve">При складанні фінансової звітності управлінський персонал несе відповідальність за оцінку здатності підприємства продовжувати свою діяльність на безперервній основі, розкриваючи питання, що стосуються безперервності діяльності, та використовуючи припущення про безперервність діяльності як основи для бухгалтерського обліку та фінансової звітності, крім випадків, якщо управлінський персонал або планує ліквідувати підприємства чи припинити діяльність, або не має інших реальних альтернатив цьому.  </w:t>
      </w:r>
    </w:p>
    <w:p w:rsidR="00F54CBE" w:rsidRDefault="006A1E48">
      <w:pPr>
        <w:ind w:left="-13" w:right="220"/>
      </w:pPr>
      <w:r>
        <w:t xml:space="preserve">Ті, кого наділено найвищими повноваженнями, несуть відповідальність за нагляд за процесом фінансового звітування підприємства. </w:t>
      </w:r>
    </w:p>
    <w:p w:rsidR="00F54CBE" w:rsidRDefault="00F54CBE">
      <w:pPr>
        <w:spacing w:after="0" w:line="259" w:lineRule="auto"/>
        <w:ind w:left="567" w:right="0" w:firstLine="0"/>
        <w:jc w:val="left"/>
      </w:pPr>
    </w:p>
    <w:p w:rsidR="00F54CBE" w:rsidRPr="00116E10" w:rsidRDefault="006A1E48" w:rsidP="00116E10">
      <w:pPr>
        <w:spacing w:after="0" w:line="259" w:lineRule="auto"/>
        <w:ind w:left="0" w:right="0" w:firstLine="0"/>
        <w:rPr>
          <w:b/>
        </w:rPr>
      </w:pPr>
      <w:r w:rsidRPr="00116E10">
        <w:rPr>
          <w:b/>
        </w:rPr>
        <w:t>ВІДПОВІДАЛЬНІСТЬ АУДИТОРА ЗА АУДИТ ФІНАНСОВИХ ЗВІТІВ</w:t>
      </w:r>
    </w:p>
    <w:p w:rsidR="00F54CBE" w:rsidRDefault="00F54CBE">
      <w:pPr>
        <w:spacing w:after="12" w:line="259" w:lineRule="auto"/>
        <w:ind w:right="0" w:firstLine="0"/>
        <w:jc w:val="left"/>
      </w:pPr>
    </w:p>
    <w:p w:rsidR="00F54CBE" w:rsidRDefault="006A1E48">
      <w:pPr>
        <w:ind w:left="-13" w:right="220"/>
      </w:pPr>
      <w: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який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F54CBE" w:rsidRDefault="006A1E48">
      <w:pPr>
        <w:ind w:left="-13" w:right="220"/>
      </w:pPr>
      <w:r>
        <w:t xml:space="preserve">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 </w:t>
      </w:r>
    </w:p>
    <w:p w:rsidR="00F54CBE" w:rsidRDefault="006A1E48">
      <w:pPr>
        <w:numPr>
          <w:ilvl w:val="0"/>
          <w:numId w:val="3"/>
        </w:numPr>
        <w:ind w:right="220"/>
      </w:pPr>
      <w: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w:t>
      </w:r>
      <w:r>
        <w:lastRenderedPageBreak/>
        <w:t xml:space="preserve">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rsidR="00F54CBE" w:rsidRDefault="006A1E48">
      <w:pPr>
        <w:numPr>
          <w:ilvl w:val="0"/>
          <w:numId w:val="3"/>
        </w:numPr>
        <w:ind w:right="220"/>
      </w:pPr>
      <w:r>
        <w:t xml:space="preserve">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F54CBE" w:rsidRDefault="006A1E48">
      <w:pPr>
        <w:numPr>
          <w:ilvl w:val="0"/>
          <w:numId w:val="3"/>
        </w:numPr>
        <w:ind w:right="220"/>
      </w:pPr>
      <w:r>
        <w:t xml:space="preserve">оцінюємо прийнятність застосованих облікових політик та обґрунтованість облікових оцінок і відповідних </w:t>
      </w:r>
      <w:proofErr w:type="spellStart"/>
      <w:r>
        <w:t>розкриттів</w:t>
      </w:r>
      <w:proofErr w:type="spellEnd"/>
      <w:r>
        <w:t xml:space="preserve"> інформації, зроблених управлінським персоналом; </w:t>
      </w:r>
    </w:p>
    <w:p w:rsidR="00F54CBE" w:rsidRDefault="006A1E48">
      <w:pPr>
        <w:numPr>
          <w:ilvl w:val="0"/>
          <w:numId w:val="3"/>
        </w:numPr>
        <w:ind w:right="220"/>
      </w:pPr>
      <w: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підприємством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t>розкриттів</w:t>
      </w:r>
      <w:proofErr w:type="spellEnd"/>
      <w: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підприємство припинити свою діяльність на безперервній основі. </w:t>
      </w:r>
    </w:p>
    <w:p w:rsidR="00F54CBE" w:rsidRDefault="006A1E48">
      <w:pPr>
        <w:numPr>
          <w:ilvl w:val="0"/>
          <w:numId w:val="3"/>
        </w:numPr>
        <w:ind w:right="220"/>
      </w:pPr>
      <w:r>
        <w:t xml:space="preserve">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rsidR="00F54CBE" w:rsidRDefault="00F54CBE">
      <w:pPr>
        <w:spacing w:after="0" w:line="259" w:lineRule="auto"/>
        <w:ind w:left="568" w:right="0" w:firstLine="0"/>
        <w:jc w:val="left"/>
      </w:pPr>
    </w:p>
    <w:p w:rsidR="00F54CBE" w:rsidRDefault="006A1E48">
      <w:pPr>
        <w:ind w:left="-13" w:right="220"/>
      </w:pPr>
      <w: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F54CBE" w:rsidRDefault="006A1E48">
      <w:pPr>
        <w:ind w:left="-13" w:right="220"/>
      </w:pPr>
      <w: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t>застосовно</w:t>
      </w:r>
      <w:proofErr w:type="spellEnd"/>
      <w:r>
        <w:t xml:space="preserve">, щодо відповідних застережних заходів. </w:t>
      </w:r>
    </w:p>
    <w:p w:rsidR="00F54CBE" w:rsidRDefault="006A1E48">
      <w:pPr>
        <w:ind w:left="-13" w:right="220"/>
      </w:pPr>
      <w: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 </w:t>
      </w:r>
    </w:p>
    <w:p w:rsidR="00F54CBE" w:rsidRDefault="00F54CBE">
      <w:pPr>
        <w:spacing w:after="0" w:line="259" w:lineRule="auto"/>
        <w:ind w:left="568" w:right="0" w:firstLine="0"/>
        <w:jc w:val="left"/>
      </w:pPr>
    </w:p>
    <w:p w:rsidR="00F54CBE" w:rsidRDefault="00F54CBE">
      <w:pPr>
        <w:spacing w:after="0" w:line="259" w:lineRule="auto"/>
        <w:ind w:left="2" w:right="0" w:firstLine="0"/>
        <w:jc w:val="left"/>
      </w:pPr>
    </w:p>
    <w:p w:rsidR="00116E10" w:rsidRDefault="00116E10">
      <w:pPr>
        <w:spacing w:after="0" w:line="259" w:lineRule="auto"/>
        <w:ind w:left="568" w:right="0" w:firstLine="0"/>
        <w:jc w:val="left"/>
      </w:pPr>
    </w:p>
    <w:p w:rsidR="00116E10" w:rsidRDefault="00116E10">
      <w:pPr>
        <w:spacing w:after="0" w:line="259" w:lineRule="auto"/>
        <w:ind w:left="568" w:right="0" w:firstLine="0"/>
        <w:jc w:val="left"/>
      </w:pPr>
    </w:p>
    <w:p w:rsidR="00116E10" w:rsidRDefault="00116E10">
      <w:pPr>
        <w:spacing w:after="0" w:line="259" w:lineRule="auto"/>
        <w:ind w:left="568" w:right="0" w:firstLine="0"/>
        <w:jc w:val="left"/>
      </w:pPr>
    </w:p>
    <w:p w:rsidR="00F54CBE" w:rsidRPr="00116E10" w:rsidRDefault="006A1E48" w:rsidP="00E50E7E">
      <w:pPr>
        <w:spacing w:after="0" w:line="259" w:lineRule="auto"/>
        <w:ind w:left="568" w:right="0" w:hanging="568"/>
        <w:jc w:val="left"/>
        <w:rPr>
          <w:b/>
        </w:rPr>
      </w:pPr>
      <w:r w:rsidRPr="00116E10">
        <w:rPr>
          <w:b/>
        </w:rPr>
        <w:lastRenderedPageBreak/>
        <w:t>ДОДАТКОВА ІНФОРМАЦІЯ</w:t>
      </w:r>
    </w:p>
    <w:p w:rsidR="00F54CBE" w:rsidRDefault="00F54CBE">
      <w:pPr>
        <w:spacing w:after="0" w:line="259" w:lineRule="auto"/>
        <w:ind w:right="0" w:firstLine="0"/>
        <w:jc w:val="left"/>
      </w:pPr>
    </w:p>
    <w:p w:rsidR="00F54CBE" w:rsidRDefault="006A1E48">
      <w:pPr>
        <w:pStyle w:val="3"/>
        <w:ind w:left="563" w:right="218"/>
      </w:pPr>
      <w:r>
        <w:t xml:space="preserve">Орган призначення та дата призначення </w:t>
      </w:r>
    </w:p>
    <w:p w:rsidR="00F54CBE" w:rsidRDefault="006A1E48">
      <w:pPr>
        <w:ind w:left="-13" w:right="220" w:firstLine="0"/>
      </w:pPr>
      <w:r>
        <w:t xml:space="preserve">        Цей аудит призначено Комунальним Підприємством Чопської міської ради «Водоканал Чоп» </w:t>
      </w:r>
    </w:p>
    <w:p w:rsidR="00F54CBE" w:rsidRDefault="00F54CBE">
      <w:pPr>
        <w:spacing w:after="0" w:line="259" w:lineRule="auto"/>
        <w:ind w:left="568" w:right="0" w:firstLine="0"/>
        <w:jc w:val="left"/>
      </w:pPr>
    </w:p>
    <w:p w:rsidR="00F54CBE" w:rsidRDefault="006A1E48">
      <w:pPr>
        <w:pStyle w:val="3"/>
        <w:ind w:left="563" w:right="218"/>
      </w:pPr>
      <w:r>
        <w:t xml:space="preserve">Загальна тривалість виконання завдання </w:t>
      </w:r>
    </w:p>
    <w:p w:rsidR="00F54CBE" w:rsidRDefault="006A1E48">
      <w:pPr>
        <w:ind w:left="568" w:right="220" w:firstLine="0"/>
      </w:pPr>
      <w:r>
        <w:t xml:space="preserve">Дата початку виконання завдання – 19 квітня 2019 року.   </w:t>
      </w:r>
    </w:p>
    <w:p w:rsidR="00F54CBE" w:rsidRDefault="006A1E48">
      <w:pPr>
        <w:spacing w:after="103"/>
        <w:ind w:left="567" w:right="220" w:firstLine="0"/>
      </w:pPr>
      <w:r>
        <w:t>Дата закінчення виконання завдання – 20 травня 2019 року.</w:t>
      </w:r>
    </w:p>
    <w:p w:rsidR="00F54CBE" w:rsidRDefault="006A1E48">
      <w:pPr>
        <w:spacing w:after="114"/>
        <w:ind w:left="-13" w:right="220" w:firstLine="0"/>
      </w:pPr>
      <w:r>
        <w:t xml:space="preserve">        ТОВ «АФ «Столиця-Аудит»» не  надавало послуги з аудиту фінансової звітності підприємства за попередній 2017 рік, а також  не виконувало огляд проміжної фінансової звітності підприємства станом на 30.06.2018 р. </w:t>
      </w:r>
    </w:p>
    <w:p w:rsidR="00F54CBE" w:rsidRDefault="00F54CBE">
      <w:pPr>
        <w:spacing w:after="0" w:line="259" w:lineRule="auto"/>
        <w:ind w:left="567" w:right="0" w:firstLine="0"/>
        <w:jc w:val="left"/>
      </w:pPr>
    </w:p>
    <w:p w:rsidR="00F54CBE" w:rsidRDefault="006A1E48">
      <w:pPr>
        <w:pStyle w:val="3"/>
        <w:ind w:left="1" w:right="218" w:firstLine="566"/>
      </w:pPr>
      <w:r>
        <w:t xml:space="preserve">Пояснення щодо результативності аудиту в частині виявлення порушень, зокрема пов'язаних із шахрайством </w:t>
      </w:r>
    </w:p>
    <w:p w:rsidR="00F54CBE" w:rsidRDefault="006A1E48">
      <w:pPr>
        <w:ind w:left="-13" w:right="220" w:firstLine="0"/>
      </w:pPr>
      <w:r>
        <w:t xml:space="preserve">        Нам не відомо про будь-які фактичні або підозрювані інциденти, і жодні інші питання не були виявлені під час проведення нами аудиторських процедур. На нашу думку була досягнута висока результативність аудиту в частині виявлення порушень, зокрема пов’язаних із шахрайством </w:t>
      </w:r>
    </w:p>
    <w:p w:rsidR="00F54CBE" w:rsidRDefault="00F54CBE">
      <w:pPr>
        <w:spacing w:after="19" w:line="259" w:lineRule="auto"/>
        <w:ind w:right="0" w:firstLine="0"/>
        <w:jc w:val="left"/>
      </w:pPr>
    </w:p>
    <w:p w:rsidR="00F54CBE" w:rsidRDefault="006A1E48">
      <w:pPr>
        <w:pStyle w:val="3"/>
        <w:ind w:left="1" w:right="218" w:firstLine="566"/>
      </w:pPr>
      <w:r>
        <w:t xml:space="preserve">Незалежність Ключового партнера та членів групи з аудиту та ТОВ «АФ «Столиця-Аудит» </w:t>
      </w:r>
    </w:p>
    <w:p w:rsidR="00F54CBE" w:rsidRDefault="006A1E48">
      <w:pPr>
        <w:ind w:left="-13" w:right="220"/>
      </w:pPr>
      <w:r>
        <w:t xml:space="preserve">Ключовий партнер з аудиту та всі співробітники, які включені до Аудиторської групи, для проведення аудиту підприємства підтвердили, що вони є незалежними у відповідності до етичних вимог Кодексу Етики Міжнародної Федерації Бухгалтерів. Ми також вважаємо, що наша аудиторська компанія є також незалежною по відношенню до підприємства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w:t>
      </w:r>
    </w:p>
    <w:p w:rsidR="00F54CBE" w:rsidRDefault="006A1E48">
      <w:pPr>
        <w:ind w:left="-13" w:right="220"/>
      </w:pPr>
      <w:r>
        <w:t xml:space="preserve"> Під час проведення аудиту нами не було встановлено жодних фактів або питань, на які ми б хотіли звернути Вашу увагу, і ми підтверджуємо, що ключовий партнер з аудиту  є незалежними від Клієнта та здатний висловити об’єктивну думку про те, чи складена фінансова звітність у всіх суттєвих аспектах відповідно до застосовної концептуальної основи фінансового звітування. </w:t>
      </w:r>
    </w:p>
    <w:p w:rsidR="00F54CBE" w:rsidRDefault="00F54CBE">
      <w:pPr>
        <w:spacing w:after="19" w:line="259" w:lineRule="auto"/>
        <w:ind w:right="0" w:firstLine="0"/>
        <w:jc w:val="left"/>
      </w:pPr>
    </w:p>
    <w:p w:rsidR="00F54CBE" w:rsidRDefault="006A1E48">
      <w:pPr>
        <w:pStyle w:val="3"/>
        <w:ind w:left="563" w:right="218"/>
      </w:pPr>
      <w:r>
        <w:t xml:space="preserve">Ненадання послуг, заборонених законодавством </w:t>
      </w:r>
    </w:p>
    <w:p w:rsidR="00F54CBE" w:rsidRDefault="006A1E48">
      <w:pPr>
        <w:ind w:left="-13" w:right="220" w:firstLine="0"/>
      </w:pPr>
      <w:r>
        <w:t xml:space="preserve">ТОВ «АФ «Столиця-Аудит» здійснює свою діяльність у відповідності до вимог Закону, з дотриманням інших нормативно-правових актів з питань аудиту та професійних стандартів аудиту, політика та процедури ТОВ «АФ «Столиця-Аудит»»  унеможливлюють надання послуг заборонених законодавством України. </w:t>
      </w:r>
    </w:p>
    <w:p w:rsidR="00F54CBE" w:rsidRDefault="00F54CBE">
      <w:pPr>
        <w:spacing w:after="0" w:line="259" w:lineRule="auto"/>
        <w:ind w:left="2" w:right="0" w:firstLine="0"/>
        <w:jc w:val="left"/>
      </w:pPr>
    </w:p>
    <w:p w:rsidR="00F54CBE" w:rsidRDefault="006A1E48">
      <w:pPr>
        <w:pStyle w:val="3"/>
        <w:ind w:left="563" w:right="218"/>
      </w:pPr>
      <w:r>
        <w:t xml:space="preserve">Залучення до проведення аудиту інших фахівців  </w:t>
      </w:r>
    </w:p>
    <w:p w:rsidR="00F54CBE" w:rsidRDefault="006A1E48">
      <w:pPr>
        <w:ind w:left="-13" w:right="220" w:firstLine="0"/>
      </w:pPr>
      <w:r>
        <w:t xml:space="preserve">Ми не залучати до проведення аудиту підприємства інших фахівців, у т. ч. </w:t>
      </w:r>
    </w:p>
    <w:p w:rsidR="00F54CBE" w:rsidRDefault="006A1E48">
      <w:pPr>
        <w:ind w:left="-13" w:right="220" w:firstLine="0"/>
      </w:pPr>
      <w:r>
        <w:lastRenderedPageBreak/>
        <w:t xml:space="preserve">суб’єктів аудиторської діяльності. </w:t>
      </w:r>
    </w:p>
    <w:p w:rsidR="00F54CBE" w:rsidRDefault="00F54CBE">
      <w:pPr>
        <w:spacing w:after="0" w:line="259" w:lineRule="auto"/>
        <w:ind w:right="0" w:firstLine="0"/>
        <w:jc w:val="left"/>
      </w:pPr>
    </w:p>
    <w:p w:rsidR="00F54CBE" w:rsidRDefault="006A1E48">
      <w:pPr>
        <w:spacing w:after="13"/>
        <w:ind w:right="218" w:firstLine="566"/>
      </w:pPr>
      <w:r>
        <w:rPr>
          <w:b/>
          <w:i/>
        </w:rPr>
        <w:t xml:space="preserve">Інформація про інші надані аудитором або суб’єктом аудиторської діяльності юридичній особі або контрольованим нею суб’єктам господарювання послуги, крім послуг з обов’язкового аудиту, що не розкрита у звіті про управління або у фінансовій звітності. </w:t>
      </w:r>
    </w:p>
    <w:p w:rsidR="00F54CBE" w:rsidRDefault="006A1E48">
      <w:pPr>
        <w:ind w:left="-13" w:right="220" w:firstLine="0"/>
      </w:pPr>
      <w:r>
        <w:t xml:space="preserve">Аудитор або ТОВ «АФ «Столиця-Аудит»» не надавали інші послуги підприємству або контрольованим ним суб’єктам господарювання, крім послуг з обов’язкового аудиту або огляду фінансової звітності. </w:t>
      </w:r>
    </w:p>
    <w:p w:rsidR="00F54CBE" w:rsidRDefault="00F54CBE">
      <w:pPr>
        <w:spacing w:after="0" w:line="259" w:lineRule="auto"/>
        <w:ind w:right="0" w:firstLine="0"/>
        <w:jc w:val="left"/>
      </w:pPr>
    </w:p>
    <w:p w:rsidR="00F54CBE" w:rsidRDefault="006A1E48">
      <w:pPr>
        <w:pStyle w:val="3"/>
        <w:ind w:left="563" w:right="218"/>
      </w:pPr>
      <w:r>
        <w:t xml:space="preserve">Пояснення щодо обсягу аудиту та властивих для аудиту обмежень </w:t>
      </w:r>
    </w:p>
    <w:p w:rsidR="00F54CBE" w:rsidRDefault="006A1E48">
      <w:pPr>
        <w:ind w:left="-13" w:right="220" w:firstLine="0"/>
      </w:pPr>
      <w:r>
        <w:t xml:space="preserve">Питання, які викладені у цьому звіті розглядалися лише в межах проведення аудиторської перевірки підприємства за 2018 рік на основі вибіркового тестування та у обсягах, необхідних для планування та проведення аудиторських процедур відповідно до вимог професійних стандартів. </w:t>
      </w:r>
    </w:p>
    <w:p w:rsidR="00F54CBE" w:rsidRDefault="006A1E48">
      <w:pPr>
        <w:ind w:left="-13" w:right="220" w:firstLine="0"/>
      </w:pPr>
      <w:r>
        <w:t xml:space="preserve"> Ми несемо відповідальність за формування та висловлення думки про фінансову звітність, яка підготовлена керівництвом під наглядом тих, кого наділено найвищими повноваженнями. Наш аудит фінансової звітності не звільняє керівництво або тих, кого наділено найвищими повноваженнями, від їх обов’язків. Ми несемо відповідальність за проведення аудиту відповідно до МСА. Аудит передбачає отримання обґрунтованої, а не абсолютної, впевненості у тому, що фінансова звітність не містить суттєвих викривлень.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Аудит включає в себе розгляд системи внутрішнього контролю за підготовкою фінансової звітності в якості основи для розробки відповідних аудиторських процедур, але не з метою висловлення думки щодо ефективності системи внутрішнього контролю за підготовкою фінансової звітності.</w:t>
      </w:r>
      <w:r w:rsidR="00F26ECD" w:rsidRPr="00F26ECD">
        <w:t xml:space="preserve"> </w:t>
      </w:r>
      <w:r>
        <w:t xml:space="preserve">Ми несемо відповідальність за запобігання недотриманню вимог і не можна очікувати, що аудитор виявить недотримання всіх законів та нормативних актів. </w:t>
      </w:r>
    </w:p>
    <w:p w:rsidR="00F54CBE" w:rsidRDefault="00F54CBE">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4F6AB8" w:rsidRDefault="004F6AB8">
      <w:pPr>
        <w:spacing w:after="0" w:line="259" w:lineRule="auto"/>
        <w:ind w:right="0" w:firstLine="0"/>
        <w:jc w:val="left"/>
      </w:pPr>
    </w:p>
    <w:p w:rsidR="00F54CBE" w:rsidRPr="00116E10" w:rsidRDefault="00AC0F54">
      <w:pPr>
        <w:spacing w:after="0" w:line="259" w:lineRule="auto"/>
        <w:ind w:right="0" w:firstLine="0"/>
        <w:jc w:val="left"/>
        <w:rPr>
          <w:b/>
        </w:rPr>
      </w:pPr>
      <w:r w:rsidRPr="00116E10">
        <w:rPr>
          <w:b/>
        </w:rPr>
        <w:lastRenderedPageBreak/>
        <w:t>ІНШІ ЕЛЕМЕНТИ</w:t>
      </w:r>
    </w:p>
    <w:p w:rsidR="00F54CBE" w:rsidRDefault="00F54CBE">
      <w:pPr>
        <w:spacing w:after="0" w:line="259" w:lineRule="auto"/>
        <w:ind w:right="0" w:firstLine="0"/>
        <w:jc w:val="left"/>
      </w:pPr>
    </w:p>
    <w:p w:rsidR="00F54CBE" w:rsidRPr="00AC0F54" w:rsidRDefault="00AC0F54">
      <w:pPr>
        <w:spacing w:after="0" w:line="259" w:lineRule="auto"/>
        <w:ind w:right="0" w:firstLine="0"/>
        <w:jc w:val="left"/>
        <w:rPr>
          <w:b/>
        </w:rPr>
      </w:pPr>
      <w:r w:rsidRPr="00AC0F54">
        <w:rPr>
          <w:b/>
        </w:rPr>
        <w:t xml:space="preserve">Основні відомості про суб’єкта аудиторської діяльності, що провів аудит </w:t>
      </w:r>
    </w:p>
    <w:p w:rsidR="00F54CBE" w:rsidRPr="00AC0F54" w:rsidRDefault="00F54CBE">
      <w:pPr>
        <w:spacing w:after="0" w:line="259" w:lineRule="auto"/>
        <w:ind w:right="0" w:firstLine="0"/>
        <w:jc w:val="left"/>
        <w:rPr>
          <w:b/>
        </w:rPr>
      </w:pPr>
    </w:p>
    <w:p w:rsidR="00F54CBE" w:rsidRDefault="00F54CBE"/>
    <w:tbl>
      <w:tblPr>
        <w:tblStyle w:val="a7"/>
        <w:tblW w:w="0" w:type="auto"/>
        <w:tblLook w:val="04A0" w:firstRow="1" w:lastRow="0" w:firstColumn="1" w:lastColumn="0" w:noHBand="0" w:noVBand="1"/>
      </w:tblPr>
      <w:tblGrid>
        <w:gridCol w:w="4790"/>
        <w:gridCol w:w="4791"/>
      </w:tblGrid>
      <w:tr w:rsidR="00AC0F54" w:rsidTr="00AC0F54">
        <w:tc>
          <w:tcPr>
            <w:tcW w:w="4790" w:type="dxa"/>
          </w:tcPr>
          <w:p w:rsidR="00AC0F54" w:rsidRDefault="00AC0F54">
            <w:pPr>
              <w:widowControl w:val="0"/>
              <w:spacing w:line="276" w:lineRule="auto"/>
              <w:ind w:left="0" w:right="0" w:firstLine="0"/>
              <w:jc w:val="left"/>
            </w:pPr>
            <w:r>
              <w:t>Назва аудиторської фірми</w:t>
            </w:r>
          </w:p>
        </w:tc>
        <w:tc>
          <w:tcPr>
            <w:tcW w:w="4791" w:type="dxa"/>
          </w:tcPr>
          <w:p w:rsidR="00AC0F54" w:rsidRDefault="00AC0F54" w:rsidP="00AC0F54">
            <w:pPr>
              <w:widowControl w:val="0"/>
              <w:spacing w:line="276" w:lineRule="auto"/>
              <w:ind w:left="0" w:right="0" w:firstLine="0"/>
              <w:jc w:val="left"/>
            </w:pPr>
            <w:r>
              <w:t>Товариство з обмеженою відповідальністю «Аудиторська фірма Столиця-Аудит»»</w:t>
            </w:r>
          </w:p>
        </w:tc>
      </w:tr>
      <w:tr w:rsidR="00AC0F54" w:rsidTr="00AC0F54">
        <w:tc>
          <w:tcPr>
            <w:tcW w:w="4790" w:type="dxa"/>
          </w:tcPr>
          <w:p w:rsidR="00AC0F54" w:rsidRDefault="00AC0F54">
            <w:pPr>
              <w:widowControl w:val="0"/>
              <w:spacing w:line="276" w:lineRule="auto"/>
              <w:ind w:left="0" w:right="0" w:firstLine="0"/>
              <w:jc w:val="left"/>
            </w:pPr>
            <w:r>
              <w:t>Ідентифікаційний код</w:t>
            </w:r>
          </w:p>
        </w:tc>
        <w:tc>
          <w:tcPr>
            <w:tcW w:w="4791" w:type="dxa"/>
          </w:tcPr>
          <w:p w:rsidR="00AC0F54" w:rsidRDefault="0089542F">
            <w:pPr>
              <w:widowControl w:val="0"/>
              <w:spacing w:line="276" w:lineRule="auto"/>
              <w:ind w:left="0" w:right="0" w:firstLine="0"/>
              <w:jc w:val="left"/>
            </w:pPr>
            <w:r w:rsidRPr="0089542F">
              <w:t>33146727</w:t>
            </w:r>
          </w:p>
        </w:tc>
      </w:tr>
      <w:tr w:rsidR="00AC0F54" w:rsidTr="00AC0F54">
        <w:tc>
          <w:tcPr>
            <w:tcW w:w="4790" w:type="dxa"/>
          </w:tcPr>
          <w:p w:rsidR="00AC0F54" w:rsidRDefault="00AC0F54" w:rsidP="00AC0F54">
            <w:pPr>
              <w:widowControl w:val="0"/>
              <w:spacing w:line="276" w:lineRule="auto"/>
              <w:ind w:left="0" w:right="0" w:firstLine="0"/>
              <w:jc w:val="left"/>
            </w:pPr>
            <w:r>
              <w:t xml:space="preserve">Розділ Реєстру аудиторів та суб’єктів аудиторської діяльності </w:t>
            </w:r>
          </w:p>
        </w:tc>
        <w:tc>
          <w:tcPr>
            <w:tcW w:w="4791" w:type="dxa"/>
          </w:tcPr>
          <w:p w:rsidR="00AC0F54" w:rsidRDefault="004F6AB8">
            <w:pPr>
              <w:widowControl w:val="0"/>
              <w:spacing w:line="276" w:lineRule="auto"/>
              <w:ind w:left="0" w:right="0" w:firstLine="0"/>
              <w:jc w:val="left"/>
            </w:pPr>
            <w:r w:rsidRPr="004F6AB8">
              <w:t>Розділ "Суб'єкти аудиторської діяльності, які мають право проводити обов'язковий аудит фінансової звітності"</w:t>
            </w:r>
          </w:p>
        </w:tc>
      </w:tr>
      <w:tr w:rsidR="004F6AB8" w:rsidTr="00AC0F54">
        <w:tc>
          <w:tcPr>
            <w:tcW w:w="4790" w:type="dxa"/>
          </w:tcPr>
          <w:p w:rsidR="004F6AB8" w:rsidRDefault="004F6AB8" w:rsidP="004F6AB8">
            <w:pPr>
              <w:widowControl w:val="0"/>
              <w:spacing w:line="276" w:lineRule="auto"/>
              <w:ind w:left="0" w:right="0" w:firstLine="0"/>
              <w:jc w:val="left"/>
            </w:pPr>
            <w:r>
              <w:t>Номер, дата видачі свідоцтва про внесення до Реєстру суб’єктів, які можуть здійснювати Аудиторську діяльність</w:t>
            </w:r>
          </w:p>
        </w:tc>
        <w:tc>
          <w:tcPr>
            <w:tcW w:w="4791" w:type="dxa"/>
          </w:tcPr>
          <w:p w:rsidR="004F6AB8" w:rsidRDefault="004F6AB8" w:rsidP="004F6AB8">
            <w:pPr>
              <w:widowControl w:val="0"/>
              <w:spacing w:line="276" w:lineRule="auto"/>
              <w:ind w:left="0" w:right="0" w:firstLine="0"/>
              <w:jc w:val="left"/>
            </w:pPr>
            <w:r>
              <w:t xml:space="preserve">Номер реєстрації у Реєстрі аудиторів та суб’єктів аудиторської діяльності 3484 </w:t>
            </w:r>
          </w:p>
        </w:tc>
      </w:tr>
      <w:tr w:rsidR="004F6AB8" w:rsidTr="00AC0F54">
        <w:tc>
          <w:tcPr>
            <w:tcW w:w="4790" w:type="dxa"/>
          </w:tcPr>
          <w:p w:rsidR="004F6AB8" w:rsidRDefault="004F6AB8" w:rsidP="004F6AB8">
            <w:pPr>
              <w:widowControl w:val="0"/>
              <w:spacing w:line="276" w:lineRule="auto"/>
              <w:ind w:left="0" w:right="0" w:firstLine="0"/>
              <w:jc w:val="left"/>
            </w:pPr>
            <w:r>
              <w:t>Номер, дата видачи свідоцтва про відповідність системи контролю якості</w:t>
            </w:r>
          </w:p>
        </w:tc>
        <w:tc>
          <w:tcPr>
            <w:tcW w:w="4791" w:type="dxa"/>
          </w:tcPr>
          <w:p w:rsidR="004F6AB8" w:rsidRDefault="004F6AB8" w:rsidP="004F6AB8">
            <w:pPr>
              <w:widowControl w:val="0"/>
              <w:spacing w:line="276" w:lineRule="auto"/>
              <w:ind w:left="0" w:right="0" w:firstLine="0"/>
              <w:jc w:val="left"/>
            </w:pPr>
            <w:r>
              <w:t xml:space="preserve">Свідоцтво </w:t>
            </w:r>
            <w:r w:rsidRPr="004F6AB8">
              <w:t xml:space="preserve">№360/4 </w:t>
            </w:r>
            <w:r>
              <w:t xml:space="preserve"> видане Аудиторською палатою України </w:t>
            </w:r>
            <w:r w:rsidRPr="004F6AB8">
              <w:t>від 31.05.18</w:t>
            </w:r>
          </w:p>
        </w:tc>
      </w:tr>
    </w:tbl>
    <w:p w:rsidR="00AC0F54" w:rsidRDefault="00AC0F54">
      <w:pPr>
        <w:widowControl w:val="0"/>
        <w:pBdr>
          <w:top w:val="nil"/>
          <w:left w:val="nil"/>
          <w:bottom w:val="nil"/>
          <w:right w:val="nil"/>
          <w:between w:val="nil"/>
        </w:pBdr>
        <w:spacing w:after="0" w:line="276" w:lineRule="auto"/>
        <w:ind w:left="0" w:right="0" w:firstLine="0"/>
        <w:jc w:val="left"/>
      </w:pPr>
    </w:p>
    <w:p w:rsidR="00AC0F54" w:rsidRDefault="00AC0F54">
      <w:pPr>
        <w:widowControl w:val="0"/>
        <w:pBdr>
          <w:top w:val="nil"/>
          <w:left w:val="nil"/>
          <w:bottom w:val="nil"/>
          <w:right w:val="nil"/>
          <w:between w:val="nil"/>
        </w:pBdr>
        <w:spacing w:after="0" w:line="276" w:lineRule="auto"/>
        <w:ind w:left="0" w:right="0" w:firstLine="0"/>
        <w:jc w:val="left"/>
      </w:pPr>
    </w:p>
    <w:p w:rsidR="00AC0F54" w:rsidRDefault="00AC0F54">
      <w:pPr>
        <w:widowControl w:val="0"/>
        <w:pBdr>
          <w:top w:val="nil"/>
          <w:left w:val="nil"/>
          <w:bottom w:val="nil"/>
          <w:right w:val="nil"/>
          <w:between w:val="nil"/>
        </w:pBdr>
        <w:spacing w:after="0" w:line="276" w:lineRule="auto"/>
        <w:ind w:left="0" w:right="0" w:firstLine="0"/>
        <w:jc w:val="left"/>
      </w:pPr>
      <w:r>
        <w:t xml:space="preserve">Ключовим аудитором, результатом якого є цей звіт незалежного аудитора, є </w:t>
      </w:r>
    </w:p>
    <w:p w:rsidR="00AC0F54" w:rsidRDefault="00AC0F54">
      <w:pPr>
        <w:widowControl w:val="0"/>
        <w:pBdr>
          <w:top w:val="nil"/>
          <w:left w:val="nil"/>
          <w:bottom w:val="nil"/>
          <w:right w:val="nil"/>
          <w:between w:val="nil"/>
        </w:pBdr>
        <w:spacing w:after="0" w:line="276" w:lineRule="auto"/>
        <w:ind w:left="0" w:right="0" w:firstLine="0"/>
        <w:jc w:val="left"/>
      </w:pPr>
    </w:p>
    <w:p w:rsidR="00522F27" w:rsidRDefault="00AC0F54" w:rsidP="00AC0F54">
      <w:pPr>
        <w:widowControl w:val="0"/>
        <w:pBdr>
          <w:top w:val="nil"/>
          <w:left w:val="nil"/>
          <w:bottom w:val="nil"/>
          <w:right w:val="nil"/>
          <w:between w:val="nil"/>
        </w:pBdr>
        <w:spacing w:after="0" w:line="276" w:lineRule="auto"/>
        <w:ind w:left="0" w:right="0" w:firstLine="5529"/>
        <w:jc w:val="left"/>
      </w:pPr>
      <w:proofErr w:type="spellStart"/>
      <w:r>
        <w:t>Третинник</w:t>
      </w:r>
      <w:proofErr w:type="spellEnd"/>
      <w:r>
        <w:t xml:space="preserve"> Руслана Михайлівна</w:t>
      </w:r>
    </w:p>
    <w:p w:rsidR="00522F27" w:rsidRDefault="00522F27" w:rsidP="00522F27">
      <w:pPr>
        <w:widowControl w:val="0"/>
        <w:pBdr>
          <w:top w:val="nil"/>
          <w:left w:val="nil"/>
          <w:bottom w:val="nil"/>
          <w:right w:val="nil"/>
          <w:between w:val="nil"/>
        </w:pBdr>
        <w:spacing w:after="0" w:line="276" w:lineRule="auto"/>
        <w:ind w:left="5529" w:right="0" w:firstLine="0"/>
        <w:jc w:val="left"/>
        <w:rPr>
          <w:sz w:val="22"/>
          <w:szCs w:val="22"/>
        </w:rPr>
      </w:pPr>
      <w:r w:rsidRPr="00522F27">
        <w:rPr>
          <w:sz w:val="22"/>
          <w:szCs w:val="22"/>
        </w:rPr>
        <w:t xml:space="preserve">Номер реєстрації у Реєстрі аудиторів та суб’єктів аудиторської діяльності </w:t>
      </w:r>
      <w:r w:rsidR="004F6AB8">
        <w:rPr>
          <w:sz w:val="22"/>
          <w:szCs w:val="22"/>
        </w:rPr>
        <w:t>100319</w:t>
      </w:r>
    </w:p>
    <w:p w:rsidR="00522F27" w:rsidRDefault="00522F27" w:rsidP="00522F27">
      <w:pPr>
        <w:widowControl w:val="0"/>
        <w:pBdr>
          <w:top w:val="nil"/>
          <w:left w:val="nil"/>
          <w:bottom w:val="nil"/>
          <w:right w:val="nil"/>
          <w:between w:val="nil"/>
        </w:pBdr>
        <w:spacing w:after="0" w:line="276" w:lineRule="auto"/>
        <w:ind w:left="5529" w:right="0" w:firstLine="0"/>
        <w:jc w:val="left"/>
        <w:rPr>
          <w:sz w:val="22"/>
          <w:szCs w:val="22"/>
        </w:rPr>
      </w:pPr>
    </w:p>
    <w:p w:rsidR="00522F27" w:rsidRDefault="00522F27" w:rsidP="00522F27">
      <w:pPr>
        <w:widowControl w:val="0"/>
        <w:pBdr>
          <w:top w:val="nil"/>
          <w:left w:val="nil"/>
          <w:bottom w:val="nil"/>
          <w:right w:val="nil"/>
          <w:between w:val="nil"/>
        </w:pBdr>
        <w:spacing w:after="0" w:line="276" w:lineRule="auto"/>
        <w:ind w:left="5529" w:right="0" w:firstLine="0"/>
        <w:jc w:val="left"/>
        <w:rPr>
          <w:sz w:val="22"/>
          <w:szCs w:val="22"/>
        </w:rPr>
      </w:pPr>
    </w:p>
    <w:p w:rsidR="00522F27" w:rsidRDefault="00522F27" w:rsidP="00116E10">
      <w:pPr>
        <w:widowControl w:val="0"/>
        <w:pBdr>
          <w:top w:val="nil"/>
          <w:left w:val="nil"/>
          <w:bottom w:val="nil"/>
          <w:right w:val="nil"/>
          <w:between w:val="nil"/>
        </w:pBdr>
        <w:tabs>
          <w:tab w:val="left" w:pos="5529"/>
        </w:tabs>
        <w:spacing w:after="0" w:line="276" w:lineRule="auto"/>
        <w:ind w:left="5670" w:right="0" w:hanging="5670"/>
        <w:jc w:val="left"/>
      </w:pPr>
      <w:r w:rsidRPr="00522F27">
        <w:t xml:space="preserve">Директор </w:t>
      </w:r>
      <w:r w:rsidR="0089542F">
        <w:tab/>
      </w:r>
      <w:r w:rsidRPr="00522F27">
        <w:t>ТОВ «АФ «Столиця-Аудит»</w:t>
      </w:r>
      <w:r>
        <w:t xml:space="preserve">                                </w:t>
      </w:r>
      <w:proofErr w:type="spellStart"/>
      <w:r>
        <w:t>Чачава</w:t>
      </w:r>
      <w:proofErr w:type="spellEnd"/>
      <w:r>
        <w:t xml:space="preserve"> О.Р.  </w:t>
      </w:r>
    </w:p>
    <w:p w:rsidR="00522F27" w:rsidRDefault="00522F27" w:rsidP="00522F27">
      <w:pPr>
        <w:widowControl w:val="0"/>
        <w:pBdr>
          <w:top w:val="nil"/>
          <w:left w:val="nil"/>
          <w:bottom w:val="nil"/>
          <w:right w:val="nil"/>
          <w:between w:val="nil"/>
        </w:pBdr>
        <w:spacing w:after="0" w:line="276" w:lineRule="auto"/>
        <w:ind w:left="5670" w:right="0" w:hanging="141"/>
        <w:jc w:val="left"/>
        <w:rPr>
          <w:sz w:val="22"/>
          <w:szCs w:val="22"/>
        </w:rPr>
      </w:pPr>
      <w:r>
        <w:rPr>
          <w:sz w:val="22"/>
          <w:szCs w:val="22"/>
        </w:rPr>
        <w:t xml:space="preserve">  </w:t>
      </w:r>
      <w:r w:rsidRPr="00522F27">
        <w:rPr>
          <w:sz w:val="22"/>
          <w:szCs w:val="22"/>
        </w:rPr>
        <w:t xml:space="preserve">Номер реєстрації у Реєстрі аудиторів та суб’єктів аудиторської діяльності </w:t>
      </w:r>
      <w:r w:rsidR="004F6AB8">
        <w:rPr>
          <w:sz w:val="22"/>
          <w:szCs w:val="22"/>
        </w:rPr>
        <w:t>100321</w:t>
      </w:r>
    </w:p>
    <w:p w:rsidR="0089542F" w:rsidRDefault="0089542F" w:rsidP="0089542F">
      <w:pPr>
        <w:widowControl w:val="0"/>
        <w:pBdr>
          <w:top w:val="nil"/>
          <w:left w:val="nil"/>
          <w:bottom w:val="nil"/>
          <w:right w:val="nil"/>
          <w:between w:val="nil"/>
        </w:pBdr>
        <w:tabs>
          <w:tab w:val="left" w:pos="5640"/>
        </w:tabs>
        <w:spacing w:after="0" w:line="276" w:lineRule="auto"/>
        <w:ind w:left="0" w:right="0" w:firstLine="0"/>
        <w:jc w:val="left"/>
      </w:pPr>
    </w:p>
    <w:p w:rsidR="00522F27" w:rsidRDefault="00522F27" w:rsidP="0089542F">
      <w:pPr>
        <w:widowControl w:val="0"/>
        <w:pBdr>
          <w:top w:val="nil"/>
          <w:left w:val="nil"/>
          <w:bottom w:val="nil"/>
          <w:right w:val="nil"/>
          <w:between w:val="nil"/>
        </w:pBdr>
        <w:tabs>
          <w:tab w:val="left" w:pos="5640"/>
        </w:tabs>
        <w:spacing w:after="0" w:line="276" w:lineRule="auto"/>
        <w:ind w:left="0" w:right="0" w:firstLine="0"/>
        <w:jc w:val="left"/>
        <w:rPr>
          <w:sz w:val="22"/>
          <w:szCs w:val="22"/>
        </w:rPr>
      </w:pPr>
      <w:r w:rsidRPr="0089542F">
        <w:t>Адреса аудиторської фірмі:</w:t>
      </w:r>
      <w:r w:rsidR="0089542F" w:rsidRPr="0089542F">
        <w:t xml:space="preserve"> </w:t>
      </w:r>
      <w:r w:rsidR="0089542F" w:rsidRPr="0089542F">
        <w:rPr>
          <w:sz w:val="22"/>
          <w:szCs w:val="22"/>
        </w:rPr>
        <w:t>УКРАЇНА, 01015, ПЕЧЕРСЬКИЙ, М. КИЇВ, ВУЛ.ДОБРОВОЛЬЧИХ БАТАЛЬЙОНІВ, буд. № 3</w:t>
      </w:r>
    </w:p>
    <w:p w:rsidR="0089542F" w:rsidRDefault="0089542F" w:rsidP="00522F27">
      <w:pPr>
        <w:widowControl w:val="0"/>
        <w:pBdr>
          <w:top w:val="nil"/>
          <w:left w:val="nil"/>
          <w:bottom w:val="nil"/>
          <w:right w:val="nil"/>
          <w:between w:val="nil"/>
        </w:pBdr>
        <w:spacing w:after="0" w:line="276" w:lineRule="auto"/>
        <w:ind w:left="5245" w:right="0" w:hanging="5245"/>
        <w:jc w:val="left"/>
        <w:rPr>
          <w:sz w:val="22"/>
          <w:szCs w:val="22"/>
        </w:rPr>
      </w:pPr>
    </w:p>
    <w:p w:rsidR="0089542F" w:rsidRDefault="0089542F" w:rsidP="00522F27">
      <w:pPr>
        <w:widowControl w:val="0"/>
        <w:pBdr>
          <w:top w:val="nil"/>
          <w:left w:val="nil"/>
          <w:bottom w:val="nil"/>
          <w:right w:val="nil"/>
          <w:between w:val="nil"/>
        </w:pBdr>
        <w:spacing w:after="0" w:line="276" w:lineRule="auto"/>
        <w:ind w:left="5245" w:right="0" w:hanging="5245"/>
        <w:jc w:val="left"/>
        <w:rPr>
          <w:sz w:val="22"/>
          <w:szCs w:val="22"/>
        </w:rPr>
      </w:pPr>
    </w:p>
    <w:p w:rsidR="00F54CBE" w:rsidRPr="0089542F" w:rsidRDefault="0089542F" w:rsidP="00522F27">
      <w:pPr>
        <w:widowControl w:val="0"/>
        <w:pBdr>
          <w:top w:val="nil"/>
          <w:left w:val="nil"/>
          <w:bottom w:val="nil"/>
          <w:right w:val="nil"/>
          <w:between w:val="nil"/>
        </w:pBdr>
        <w:spacing w:after="0" w:line="276" w:lineRule="auto"/>
        <w:ind w:left="5245" w:right="0" w:hanging="5245"/>
        <w:jc w:val="left"/>
        <w:rPr>
          <w:sz w:val="24"/>
          <w:szCs w:val="24"/>
        </w:rPr>
        <w:sectPr w:rsidR="00F54CBE" w:rsidRPr="0089542F" w:rsidSect="0089542F">
          <w:footerReference w:type="even" r:id="rId12"/>
          <w:footerReference w:type="default" r:id="rId13"/>
          <w:footerReference w:type="first" r:id="rId14"/>
          <w:pgSz w:w="11906" w:h="16838"/>
          <w:pgMar w:top="720" w:right="720" w:bottom="720" w:left="720" w:header="708" w:footer="708" w:gutter="0"/>
          <w:pgNumType w:start="1"/>
          <w:cols w:space="720"/>
          <w:titlePg/>
          <w:docGrid w:linePitch="381"/>
        </w:sectPr>
      </w:pPr>
      <w:r w:rsidRPr="0089542F">
        <w:rPr>
          <w:sz w:val="24"/>
          <w:szCs w:val="24"/>
        </w:rPr>
        <w:t>Дата аудиторського звіту :  20 травня  2019 року.</w:t>
      </w:r>
    </w:p>
    <w:p w:rsidR="00F54CBE" w:rsidRDefault="00F54CBE">
      <w:pPr>
        <w:spacing w:after="0" w:line="259" w:lineRule="auto"/>
        <w:ind w:left="-1440" w:right="10800" w:firstLine="0"/>
        <w:jc w:val="left"/>
        <w:rPr>
          <w:color w:val="000000"/>
        </w:rPr>
      </w:pPr>
    </w:p>
    <w:sectPr w:rsidR="00F54CBE">
      <w:type w:val="continuous"/>
      <w:pgSz w:w="11906" w:h="16838"/>
      <w:pgMar w:top="1138" w:right="615" w:bottom="724" w:left="170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022" w:rsidRDefault="00585022">
      <w:pPr>
        <w:spacing w:after="0" w:line="240" w:lineRule="auto"/>
      </w:pPr>
      <w:r>
        <w:separator/>
      </w:r>
    </w:p>
  </w:endnote>
  <w:endnote w:type="continuationSeparator" w:id="0">
    <w:p w:rsidR="00585022" w:rsidRDefault="0058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charset w:val="CC"/>
    <w:family w:val="roman"/>
    <w:pitch w:val="variable"/>
    <w:sig w:usb0="00000287" w:usb1="00000000" w:usb2="00000000" w:usb3="00000000" w:csb0="0000009F" w:csb1="00000000"/>
  </w:font>
  <w:font w:name="inheri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BE" w:rsidRDefault="006A1E48">
    <w:pPr>
      <w:tabs>
        <w:tab w:val="right" w:pos="9591"/>
      </w:tabs>
      <w:spacing w:after="0" w:line="259" w:lineRule="auto"/>
      <w:ind w:left="0" w:right="0" w:firstLine="0"/>
      <w:jc w:val="left"/>
    </w:pPr>
    <w:r>
      <w:rPr>
        <w:rFonts w:ascii="Arial" w:eastAsia="Arial" w:hAnsi="Arial" w:cs="Arial"/>
        <w:sz w:val="24"/>
        <w:szCs w:val="24"/>
      </w:rPr>
      <w:tab/>
    </w: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BE" w:rsidRDefault="006A1E48">
    <w:pPr>
      <w:tabs>
        <w:tab w:val="right" w:pos="9591"/>
      </w:tabs>
      <w:spacing w:after="0" w:line="259" w:lineRule="auto"/>
      <w:ind w:left="0" w:right="0" w:firstLine="0"/>
      <w:jc w:val="left"/>
    </w:pPr>
    <w:r>
      <w:rPr>
        <w:rFonts w:ascii="Arial" w:eastAsia="Arial" w:hAnsi="Arial" w:cs="Arial"/>
        <w:sz w:val="24"/>
        <w:szCs w:val="24"/>
      </w:rPr>
      <w:tab/>
    </w: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B60212">
      <w:rPr>
        <w:rFonts w:ascii="Arial" w:eastAsia="Arial" w:hAnsi="Arial" w:cs="Arial"/>
        <w:noProof/>
        <w:sz w:val="24"/>
        <w:szCs w:val="24"/>
      </w:rPr>
      <w:t>5</w:t>
    </w:r>
    <w:r>
      <w:rPr>
        <w:rFonts w:ascii="Arial" w:eastAsia="Arial" w:hAnsi="Arial" w:cs="Arial"/>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BE" w:rsidRDefault="00F54CB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022" w:rsidRDefault="00585022">
      <w:pPr>
        <w:spacing w:after="0" w:line="240" w:lineRule="auto"/>
      </w:pPr>
      <w:r>
        <w:separator/>
      </w:r>
    </w:p>
  </w:footnote>
  <w:footnote w:type="continuationSeparator" w:id="0">
    <w:p w:rsidR="00585022" w:rsidRDefault="00585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489"/>
    <w:multiLevelType w:val="multilevel"/>
    <w:tmpl w:val="B7B88522"/>
    <w:lvl w:ilvl="0">
      <w:start w:val="1"/>
      <w:numFmt w:val="decimal"/>
      <w:lvlText w:val="%1."/>
      <w:lvlJc w:val="left"/>
      <w:pPr>
        <w:ind w:left="789" w:hanging="359"/>
      </w:pPr>
      <w:rPr>
        <w:color w:val="333333"/>
      </w:r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 w15:restartNumberingAfterBreak="0">
    <w:nsid w:val="7EA96AF6"/>
    <w:multiLevelType w:val="multilevel"/>
    <w:tmpl w:val="4768EE50"/>
    <w:lvl w:ilvl="0">
      <w:start w:val="1"/>
      <w:numFmt w:val="bullet"/>
      <w:lvlText w:val="-"/>
      <w:lvlJc w:val="left"/>
      <w:pPr>
        <w:ind w:left="812" w:hanging="812"/>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531" w:hanging="1531"/>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251" w:hanging="2251"/>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971" w:hanging="2971"/>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691" w:hanging="3691"/>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411" w:hanging="4411"/>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131" w:hanging="5131"/>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851" w:hanging="5851"/>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571" w:hanging="657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15:restartNumberingAfterBreak="0">
    <w:nsid w:val="7ED869A0"/>
    <w:multiLevelType w:val="multilevel"/>
    <w:tmpl w:val="FE7C8464"/>
    <w:lvl w:ilvl="0">
      <w:start w:val="1"/>
      <w:numFmt w:val="bullet"/>
      <w:lvlText w:val="•"/>
      <w:lvlJc w:val="left"/>
      <w:pPr>
        <w:ind w:left="0" w:firstLine="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647" w:hanging="1647"/>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367" w:hanging="2367"/>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087" w:hanging="3087"/>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807" w:hanging="3807"/>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527" w:hanging="4527"/>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247" w:hanging="5247"/>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967" w:hanging="5967"/>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687" w:hanging="6687"/>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BE"/>
    <w:rsid w:val="00116E10"/>
    <w:rsid w:val="00215801"/>
    <w:rsid w:val="004F6AB8"/>
    <w:rsid w:val="00522F27"/>
    <w:rsid w:val="00585022"/>
    <w:rsid w:val="00600B80"/>
    <w:rsid w:val="006279DF"/>
    <w:rsid w:val="006A1E48"/>
    <w:rsid w:val="007B0FCE"/>
    <w:rsid w:val="0089542F"/>
    <w:rsid w:val="009922A2"/>
    <w:rsid w:val="00AC0F54"/>
    <w:rsid w:val="00AC2F25"/>
    <w:rsid w:val="00B60212"/>
    <w:rsid w:val="00C046F8"/>
    <w:rsid w:val="00CD1B21"/>
    <w:rsid w:val="00D32A2E"/>
    <w:rsid w:val="00E455EA"/>
    <w:rsid w:val="00E50E7E"/>
    <w:rsid w:val="00F26ECD"/>
    <w:rsid w:val="00F43BDD"/>
    <w:rsid w:val="00F54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3AF0F-9ED7-456E-853C-748BB17D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uk-UA" w:bidi="ar-SA"/>
      </w:rPr>
    </w:rPrDefault>
    <w:pPrDefault>
      <w:pPr>
        <w:spacing w:after="3" w:line="248" w:lineRule="auto"/>
        <w:ind w:left="1" w:right="232" w:firstLine="5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59" w:lineRule="auto"/>
      <w:ind w:left="186" w:right="0" w:hanging="186"/>
      <w:jc w:val="left"/>
      <w:outlineLvl w:val="0"/>
    </w:pPr>
    <w:rPr>
      <w:b/>
      <w:color w:val="385623"/>
      <w:sz w:val="52"/>
      <w:szCs w:val="52"/>
      <w:shd w:val="clear" w:color="auto" w:fill="FFE599"/>
    </w:rPr>
  </w:style>
  <w:style w:type="paragraph" w:styleId="2">
    <w:name w:val="heading 2"/>
    <w:basedOn w:val="a"/>
    <w:next w:val="a"/>
    <w:pPr>
      <w:keepNext/>
      <w:keepLines/>
      <w:pBdr>
        <w:top w:val="nil"/>
        <w:left w:val="nil"/>
        <w:bottom w:val="nil"/>
        <w:right w:val="nil"/>
        <w:between w:val="nil"/>
      </w:pBdr>
      <w:shd w:val="clear" w:color="auto" w:fill="FFE599"/>
      <w:spacing w:after="0" w:line="259" w:lineRule="auto"/>
      <w:ind w:left="11" w:right="0" w:hanging="10"/>
      <w:jc w:val="left"/>
      <w:outlineLvl w:val="1"/>
    </w:pPr>
    <w:rPr>
      <w:b/>
      <w:i/>
      <w:color w:val="385623"/>
    </w:rPr>
  </w:style>
  <w:style w:type="paragraph" w:styleId="3">
    <w:name w:val="heading 3"/>
    <w:basedOn w:val="a"/>
    <w:next w:val="a"/>
    <w:pPr>
      <w:keepNext/>
      <w:keepLines/>
      <w:pBdr>
        <w:top w:val="nil"/>
        <w:left w:val="nil"/>
        <w:bottom w:val="nil"/>
        <w:right w:val="nil"/>
        <w:between w:val="nil"/>
      </w:pBdr>
      <w:spacing w:after="13"/>
      <w:ind w:left="11" w:hanging="10"/>
      <w:outlineLvl w:val="2"/>
    </w:pPr>
    <w:rPr>
      <w:b/>
      <w:i/>
      <w:color w:val="000000"/>
    </w:rPr>
  </w:style>
  <w:style w:type="paragraph" w:styleId="4">
    <w:name w:val="heading 4"/>
    <w:basedOn w:val="a"/>
    <w:next w:val="a"/>
    <w:pPr>
      <w:keepNext/>
      <w:keepLines/>
      <w:spacing w:before="40" w:after="0"/>
      <w:outlineLvl w:val="3"/>
    </w:pPr>
    <w:rPr>
      <w:rFonts w:ascii="Calibri" w:eastAsia="Calibri" w:hAnsi="Calibri" w:cs="Calibri"/>
      <w:i/>
      <w:color w:val="2E75B5"/>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56" w:type="dxa"/>
      </w:tblCellMar>
    </w:tblPr>
  </w:style>
  <w:style w:type="table" w:customStyle="1" w:styleId="a6">
    <w:basedOn w:val="TableNormal"/>
    <w:pPr>
      <w:spacing w:after="0" w:line="240" w:lineRule="auto"/>
    </w:pPr>
    <w:tblPr>
      <w:tblStyleRowBandSize w:val="1"/>
      <w:tblStyleColBandSize w:val="1"/>
      <w:tblCellMar>
        <w:top w:w="51" w:type="dxa"/>
        <w:left w:w="107" w:type="dxa"/>
        <w:right w:w="51" w:type="dxa"/>
      </w:tblCellMar>
    </w:tblPr>
  </w:style>
  <w:style w:type="table" w:styleId="a7">
    <w:name w:val="Table Grid"/>
    <w:basedOn w:val="a1"/>
    <w:uiPriority w:val="39"/>
    <w:rsid w:val="00AC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udit@capital-audit.com.u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z0284-9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kon2.rada.gov.ua/laws/show/1378-15" TargetMode="External"/><Relationship Id="rId4" Type="http://schemas.openxmlformats.org/officeDocument/2006/relationships/webSettings" Target="webSettings.xml"/><Relationship Id="rId9" Type="http://schemas.openxmlformats.org/officeDocument/2006/relationships/hyperlink" Target="http://zakon4.rada.gov.ua/laws/show/2658-1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19680</Words>
  <Characters>11219</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2019-05-31T11:54:00Z</dcterms:created>
  <dcterms:modified xsi:type="dcterms:W3CDTF">2019-05-31T11:54:00Z</dcterms:modified>
</cp:coreProperties>
</file>